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bottom w:val="single" w:color="auto" w:sz="4" w:space="1"/>
        </w:pBdr>
        <w:spacing w:line="360" w:lineRule="auto"/>
        <w:jc w:val="center"/>
        <w:rPr>
          <w:rFonts w:hint="eastAsia"/>
          <w:b/>
          <w:sz w:val="32"/>
          <w:szCs w:val="32"/>
          <w:u w:val="none"/>
          <w:lang w:val="en-US" w:eastAsia="zh-CN"/>
        </w:rPr>
      </w:pPr>
      <w:r>
        <w:rPr>
          <w:rFonts w:hint="eastAsia"/>
          <w:b/>
          <w:sz w:val="32"/>
          <w:szCs w:val="32"/>
          <w:u w:val="none"/>
          <w:lang w:val="en-US" w:eastAsia="zh-CN"/>
        </w:rPr>
        <w:t>信科集团粤港澳大湾区智能算力中心驻场运维服务项目</w:t>
      </w:r>
    </w:p>
    <w:p>
      <w:pPr>
        <w:pStyle w:val="5"/>
        <w:pBdr>
          <w:bottom w:val="single" w:color="auto" w:sz="4" w:space="1"/>
        </w:pBdr>
        <w:spacing w:line="360" w:lineRule="auto"/>
        <w:jc w:val="center"/>
        <w:rPr>
          <w:b/>
          <w:sz w:val="32"/>
          <w:szCs w:val="32"/>
          <w:u w:val="none"/>
        </w:rPr>
      </w:pPr>
      <w:r>
        <w:rPr>
          <w:rFonts w:hint="eastAsia"/>
          <w:b/>
          <w:sz w:val="32"/>
          <w:szCs w:val="32"/>
          <w:u w:val="none"/>
          <w:lang w:val="en-US" w:eastAsia="zh-CN"/>
        </w:rPr>
        <w:t>（项目编号：YAZB2024-0002）</w:t>
      </w:r>
      <w:r>
        <w:rPr>
          <w:rFonts w:hint="eastAsia"/>
          <w:b/>
          <w:sz w:val="32"/>
          <w:szCs w:val="32"/>
          <w:u w:val="none"/>
          <w:lang w:val="zh-CN"/>
        </w:rPr>
        <w:t>招标答疑纪要</w:t>
      </w:r>
    </w:p>
    <w:p>
      <w:pPr>
        <w:keepNext w:val="0"/>
        <w:keepLines w:val="0"/>
        <w:widowControl w:val="0"/>
        <w:suppressLineNumbers w:val="0"/>
        <w:spacing w:before="0" w:beforeAutospacing="0" w:after="0" w:afterAutospacing="0" w:line="360" w:lineRule="auto"/>
        <w:ind w:left="0" w:right="0"/>
        <w:jc w:val="left"/>
        <w:rPr>
          <w:rFonts w:hint="eastAsia" w:ascii="仿宋" w:hAnsi="仿宋" w:eastAsia="仿宋" w:cs="仿宋"/>
          <w:color w:val="000000"/>
          <w:kern w:val="0"/>
          <w:sz w:val="21"/>
          <w:szCs w:val="21"/>
          <w:lang w:val="en-US" w:eastAsia="zh-CN" w:bidi="ar"/>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各投标人：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现就各投标人对</w:t>
      </w:r>
      <w:r>
        <w:rPr>
          <w:rFonts w:hint="eastAsia" w:ascii="宋体" w:hAnsi="宋体" w:eastAsia="宋体" w:cs="宋体"/>
          <w:color w:val="000000"/>
          <w:kern w:val="0"/>
          <w:sz w:val="24"/>
          <w:szCs w:val="24"/>
          <w:u w:val="single"/>
          <w:lang w:val="en-US" w:eastAsia="zh-CN" w:bidi="ar"/>
        </w:rPr>
        <w:t>信科集团粤港澳大湾区智能算力中心驻场运维服务项目（项目编号：YAZB2024-0002）</w:t>
      </w:r>
      <w:r>
        <w:rPr>
          <w:rFonts w:hint="eastAsia" w:ascii="宋体" w:hAnsi="宋体" w:eastAsia="宋体" w:cs="宋体"/>
          <w:color w:val="000000"/>
          <w:kern w:val="0"/>
          <w:sz w:val="24"/>
          <w:szCs w:val="24"/>
          <w:lang w:val="en-US" w:eastAsia="zh-CN" w:bidi="ar"/>
        </w:rPr>
        <w:t>招标提出的问题作出解答，凡招标文件与本答疑文件不一致的地方，以本答疑文件为准。</w:t>
      </w:r>
    </w:p>
    <w:p>
      <w:pPr>
        <w:widowControl/>
        <w:numPr>
          <w:ilvl w:val="0"/>
          <w:numId w:val="1"/>
        </w:numPr>
        <w:spacing w:line="360" w:lineRule="auto"/>
        <w:rPr>
          <w:rFonts w:hint="eastAsia" w:ascii="宋体" w:hAnsi="宋体" w:eastAsia="宋体" w:cs="宋体"/>
          <w:color w:val="000000"/>
          <w:kern w:val="0"/>
          <w:sz w:val="24"/>
          <w:szCs w:val="24"/>
          <w:lang w:val="en-US" w:eastAsia="zh-CN" w:bidi="ar"/>
        </w:rPr>
      </w:pPr>
      <w:r>
        <w:rPr>
          <w:rFonts w:hint="eastAsia"/>
          <w:b/>
          <w:bCs/>
          <w:sz w:val="28"/>
          <w:szCs w:val="28"/>
        </w:rPr>
        <w:t>投标人提问</w:t>
      </w:r>
    </w:p>
    <w:p>
      <w:pPr>
        <w:keepNext w:val="0"/>
        <w:keepLines w:val="0"/>
        <w:widowControl w:val="0"/>
        <w:suppressLineNumbers w:val="0"/>
        <w:spacing w:before="0" w:beforeAutospacing="0" w:after="0" w:afterAutospacing="0" w:line="360" w:lineRule="auto"/>
        <w:ind w:right="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（一）《招标文件》第6页，原文如下：</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1.维护机房基础设施环境监控系统（DICM），实现对供配电设备、冷凝水循环系统、行间和房间级空调、气体消防、门禁系统及视频监控系统、BA控制、UPS、柴油发电机等基础的机房环境设施进行监控和维护管理；</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2.维护网络环境及网络安全监控系统，实现对智能算力中心所有的交换机、路由器和网络安全等设备，以及由这些设备组成的所有网络运行状态进行监控；</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3.维护服务器监控系统，实现对整个智能算力中心的服务器进行运行情况监控并及时处理出现的问题和变更；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4.维护运管平台监控系统，实现对整个智能算力中心的运维运行情况监控并及时提出解决方案；</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疑问：此处仅说明了服务类型，但服务范围不清晰，请招标人补充以下资料：</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提供智能算力中心的所有设备清单，包括配电、暖通等基础设施和传感器等设备类型、数量，供我方确定维护量；是否是单纯维护环境监控系统、网络监控系统、服务器监控系统和运管平台监控系统这四个系统的软硬件，维护内容是否包含这四个系统监控的所有末端设备？</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提供智能算力中心建筑面积、机柜数量、单机柜功率、市电总功率、是否包含消防值班等信息，供我方确定人力资源。</w:t>
      </w:r>
    </w:p>
    <w:p>
      <w:pPr>
        <w:keepNext w:val="0"/>
        <w:keepLines w:val="0"/>
        <w:widowControl w:val="0"/>
        <w:suppressLineNumbers w:val="0"/>
        <w:spacing w:before="0" w:beforeAutospacing="0" w:after="0" w:afterAutospacing="0" w:line="360" w:lineRule="auto"/>
        <w:ind w:right="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回复：</w:t>
      </w:r>
    </w:p>
    <w:p>
      <w:pPr>
        <w:keepNext w:val="0"/>
        <w:keepLines w:val="0"/>
        <w:widowControl w:val="0"/>
        <w:suppressLineNumbers w:val="0"/>
        <w:spacing w:before="0" w:beforeAutospacing="0" w:after="0" w:afterAutospacing="0" w:line="360" w:lineRule="auto"/>
        <w:ind w:right="0"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1）设备清单请看附表1。运维工作内容包括不单是暖通、配电、网络、服务器、监控几大系统平台的软硬件，还包括与之相关的末端设备的维护工作内容。</w:t>
      </w:r>
    </w:p>
    <w:p>
      <w:pPr>
        <w:keepNext w:val="0"/>
        <w:keepLines w:val="0"/>
        <w:widowControl w:val="0"/>
        <w:suppressLineNumbers w:val="0"/>
        <w:spacing w:before="0" w:beforeAutospacing="0" w:after="0" w:afterAutospacing="0" w:line="360" w:lineRule="auto"/>
        <w:ind w:right="0"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2）智能算力中心建筑面积2000平方，205个业务机柜，单机柜功率20KW，市电总功率2500KW，包括7*24小时的监控值班工作包含安防出入监视及消防监控工作。</w:t>
      </w:r>
    </w:p>
    <w:p>
      <w:pPr>
        <w:keepNext w:val="0"/>
        <w:keepLines w:val="0"/>
        <w:widowControl w:val="0"/>
        <w:suppressLineNumbers w:val="0"/>
        <w:spacing w:before="0" w:beforeAutospacing="0" w:after="0" w:afterAutospacing="0" w:line="360" w:lineRule="auto"/>
        <w:ind w:right="0"/>
        <w:jc w:val="left"/>
        <w:rPr>
          <w:rFonts w:hint="default" w:ascii="宋体" w:hAnsi="宋体" w:eastAsia="宋体" w:cs="宋体"/>
          <w:b/>
          <w:bCs/>
          <w:color w:val="000000"/>
          <w:kern w:val="0"/>
          <w:sz w:val="24"/>
          <w:szCs w:val="24"/>
          <w:lang w:val="en-US" w:eastAsia="zh-CN" w:bidi="ar"/>
        </w:rPr>
      </w:pPr>
    </w:p>
    <w:p>
      <w:pPr>
        <w:keepNext w:val="0"/>
        <w:keepLines w:val="0"/>
        <w:widowControl w:val="0"/>
        <w:suppressLineNumbers w:val="0"/>
        <w:spacing w:before="0" w:beforeAutospacing="0" w:after="0" w:afterAutospacing="0" w:line="360" w:lineRule="auto"/>
        <w:ind w:right="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（二）《招标文件》第6页，原文如下：</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1.维护科城云专有云平台，实现对科城云运营提供技术咨询与部署服务，同时科城云业务运营方面决策提供数据支撑，保障科城云业务系统持续安全、高效稳定运行提供监控、巡查及应急服务；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6.维护AI算力平台，实现对AI算力平台运营提供技术咨询与部署服务，同时AI算力平台运营方面决策提供数据支撑，保障AI算力平台业务系统持续安全、高效稳定运行提供监控、巡查及应急服务；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疑问：</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请招标人提供科城云专有云平台、AI算力平台功能清单，供我方了解平台功能、定位；</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科城云专有云平台、AI算力平台是否已经由平台原厂家部署上线、并投入使用？原文要求我方“提供技术咨询与部署服务”。我方是否仅做为平台的使用方，例如使用平台进行日常监视、系统配置修改、数据报表导出、系统紧急故障处置、呼叫供应商等。</w:t>
      </w:r>
    </w:p>
    <w:p>
      <w:pPr>
        <w:keepNext w:val="0"/>
        <w:keepLines w:val="0"/>
        <w:widowControl w:val="0"/>
        <w:suppressLineNumbers w:val="0"/>
        <w:spacing w:before="0" w:beforeAutospacing="0" w:after="0" w:afterAutospacing="0" w:line="360" w:lineRule="auto"/>
        <w:ind w:right="0"/>
        <w:jc w:val="left"/>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回复：</w:t>
      </w:r>
    </w:p>
    <w:p>
      <w:pPr>
        <w:keepNext w:val="0"/>
        <w:keepLines w:val="0"/>
        <w:widowControl w:val="0"/>
        <w:suppressLineNumbers w:val="0"/>
        <w:spacing w:before="0" w:beforeAutospacing="0" w:after="0" w:afterAutospacing="0" w:line="360" w:lineRule="auto"/>
        <w:ind w:right="0"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1）云专用云平台和AI算力平台功能清单请看附表2。</w:t>
      </w:r>
    </w:p>
    <w:p>
      <w:pPr>
        <w:keepNext w:val="0"/>
        <w:keepLines w:val="0"/>
        <w:widowControl w:val="0"/>
        <w:suppressLineNumbers w:val="0"/>
        <w:spacing w:before="0" w:beforeAutospacing="0" w:after="0" w:afterAutospacing="0" w:line="360" w:lineRule="auto"/>
        <w:ind w:right="0"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2）专有云平台、AI算力平台已经由原厂部署上线，并投入使用；对于平台我方即是使用方，也是提供方，需要分配相应的资源给我方客户使用。运维工作包括了平台状态的监控，客户资源分配，客户使用问题提供技术方面解答，平台系统版本的升级、漏洞补丁升级，运营数据的情况统计、对接供应商进行BUG的修正、紧急故障处置等。</w:t>
      </w:r>
    </w:p>
    <w:p>
      <w:pPr>
        <w:keepNext w:val="0"/>
        <w:keepLines w:val="0"/>
        <w:widowControl w:val="0"/>
        <w:suppressLineNumbers w:val="0"/>
        <w:spacing w:before="0" w:beforeAutospacing="0" w:after="0" w:afterAutospacing="0" w:line="360" w:lineRule="auto"/>
        <w:ind w:right="0"/>
        <w:jc w:val="left"/>
        <w:rPr>
          <w:rFonts w:hint="eastAsia" w:ascii="宋体" w:hAnsi="宋体" w:eastAsia="宋体" w:cs="宋体"/>
          <w:color w:val="000000"/>
          <w:kern w:val="0"/>
          <w:sz w:val="24"/>
          <w:szCs w:val="24"/>
          <w:lang w:val="en-US" w:eastAsia="zh-CN" w:bidi="ar"/>
        </w:rPr>
      </w:pPr>
    </w:p>
    <w:p>
      <w:pPr>
        <w:widowControl/>
        <w:numPr>
          <w:ilvl w:val="0"/>
          <w:numId w:val="1"/>
        </w:numPr>
        <w:spacing w:line="360" w:lineRule="auto"/>
        <w:rPr>
          <w:rFonts w:hint="default"/>
          <w:b/>
          <w:bCs/>
          <w:sz w:val="28"/>
          <w:szCs w:val="28"/>
          <w:lang w:val="en-US" w:eastAsia="zh-CN"/>
        </w:rPr>
      </w:pPr>
      <w:r>
        <w:rPr>
          <w:rFonts w:hint="eastAsia"/>
          <w:b/>
          <w:bCs/>
          <w:sz w:val="28"/>
          <w:szCs w:val="28"/>
          <w:lang w:val="en-US" w:eastAsia="zh-CN"/>
        </w:rPr>
        <w:t>招标人澄清</w:t>
      </w:r>
    </w:p>
    <w:p>
      <w:pPr>
        <w:keepNext w:val="0"/>
        <w:keepLines w:val="0"/>
        <w:widowControl w:val="0"/>
        <w:suppressLineNumbers w:val="0"/>
        <w:spacing w:before="0" w:beforeAutospacing="0" w:after="0" w:afterAutospacing="0" w:line="360" w:lineRule="auto"/>
        <w:ind w:right="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（一）本招标项目投标文件递交及开标时间、地点修改如下：</w:t>
      </w:r>
    </w:p>
    <w:p>
      <w:pPr>
        <w:keepNext w:val="0"/>
        <w:keepLines w:val="0"/>
        <w:widowControl w:val="0"/>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递交投标文件截止时间：2024年2月21日</w:t>
      </w:r>
      <w:r>
        <w:rPr>
          <w:rFonts w:hint="eastAsia" w:ascii="宋体" w:hAnsi="宋体" w:cs="宋体"/>
          <w:sz w:val="24"/>
          <w:szCs w:val="24"/>
        </w:rPr>
        <w:t>10时00</w:t>
      </w:r>
      <w:r>
        <w:rPr>
          <w:rFonts w:ascii="宋体" w:hAnsi="宋体" w:cs="宋体"/>
          <w:sz w:val="24"/>
          <w:szCs w:val="24"/>
        </w:rPr>
        <w:t>分</w:t>
      </w:r>
      <w:r>
        <w:rPr>
          <w:rFonts w:hint="eastAsia" w:ascii="宋体" w:hAnsi="宋体" w:eastAsia="宋体" w:cs="宋体"/>
          <w:color w:val="000000"/>
          <w:kern w:val="0"/>
          <w:sz w:val="24"/>
          <w:szCs w:val="24"/>
          <w:lang w:val="en-US" w:eastAsia="zh-CN" w:bidi="ar"/>
        </w:rPr>
        <w:t>；</w:t>
      </w:r>
    </w:p>
    <w:p>
      <w:pPr>
        <w:keepNext w:val="0"/>
        <w:keepLines w:val="0"/>
        <w:widowControl w:val="0"/>
        <w:suppressLineNumbers w:val="0"/>
        <w:spacing w:before="0" w:beforeAutospacing="0" w:after="0" w:afterAutospacing="0" w:line="360" w:lineRule="auto"/>
        <w:ind w:right="0" w:firstLine="720" w:firstLineChars="300"/>
        <w:jc w:val="left"/>
        <w:rPr>
          <w:rFonts w:ascii="宋体" w:hAnsi="宋体" w:cs="宋体"/>
          <w:sz w:val="24"/>
          <w:szCs w:val="24"/>
        </w:rPr>
      </w:pPr>
      <w:r>
        <w:rPr>
          <w:rFonts w:hint="eastAsia" w:ascii="宋体" w:hAnsi="宋体" w:eastAsia="宋体" w:cs="宋体"/>
          <w:color w:val="000000"/>
          <w:kern w:val="0"/>
          <w:sz w:val="24"/>
          <w:szCs w:val="24"/>
          <w:lang w:val="en-US" w:eastAsia="zh-CN" w:bidi="ar"/>
        </w:rPr>
        <w:t>开标时间：2024年2月21日</w:t>
      </w:r>
      <w:r>
        <w:rPr>
          <w:rFonts w:hint="eastAsia" w:ascii="宋体" w:hAnsi="宋体" w:cs="宋体"/>
          <w:sz w:val="24"/>
          <w:szCs w:val="24"/>
        </w:rPr>
        <w:t>10时00</w:t>
      </w:r>
      <w:r>
        <w:rPr>
          <w:rFonts w:ascii="宋体" w:hAnsi="宋体" w:cs="宋体"/>
          <w:sz w:val="24"/>
          <w:szCs w:val="24"/>
        </w:rPr>
        <w:t>分</w:t>
      </w:r>
    </w:p>
    <w:p>
      <w:pPr>
        <w:keepNext w:val="0"/>
        <w:keepLines w:val="0"/>
        <w:widowControl w:val="0"/>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开标地点：广州市黄埔区观虹路10号兴普紫园11楼1105室开标室。</w:t>
      </w:r>
    </w:p>
    <w:p>
      <w:pPr>
        <w:rPr>
          <w:rFonts w:hint="eastAsia"/>
          <w:lang w:val="en-US" w:eastAsia="zh-CN"/>
        </w:rPr>
      </w:pPr>
    </w:p>
    <w:p>
      <w:pPr>
        <w:keepNext w:val="0"/>
        <w:keepLines w:val="0"/>
        <w:pageBreakBefore w:val="0"/>
        <w:widowControl w:val="0"/>
        <w:tabs>
          <w:tab w:val="left" w:pos="855"/>
        </w:tabs>
        <w:kinsoku/>
        <w:wordWrap/>
        <w:overflowPunct/>
        <w:topLinePunct w:val="0"/>
        <w:autoSpaceDE/>
        <w:autoSpaceDN/>
        <w:bidi w:val="0"/>
        <w:adjustRightInd w:val="0"/>
        <w:snapToGrid w:val="0"/>
        <w:spacing w:line="360" w:lineRule="auto"/>
        <w:ind w:right="27" w:firstLine="3840" w:firstLineChars="1600"/>
        <w:textAlignment w:val="auto"/>
        <w:rPr>
          <w:rFonts w:hint="eastAsia" w:ascii="宋体" w:hAnsi="宋体" w:eastAsia="宋体" w:cs="宋体"/>
          <w:sz w:val="24"/>
          <w:szCs w:val="24"/>
          <w:u w:val="single"/>
        </w:rPr>
      </w:pPr>
      <w:r>
        <w:rPr>
          <w:rFonts w:hint="eastAsia" w:ascii="宋体" w:hAnsi="宋体" w:eastAsia="宋体" w:cs="宋体"/>
          <w:sz w:val="24"/>
          <w:szCs w:val="24"/>
        </w:rPr>
        <w:t>招标人：科学城（广州）信息科技集团有限公司</w:t>
      </w:r>
    </w:p>
    <w:p>
      <w:pPr>
        <w:keepNext w:val="0"/>
        <w:keepLines w:val="0"/>
        <w:pageBreakBefore w:val="0"/>
        <w:widowControl w:val="0"/>
        <w:tabs>
          <w:tab w:val="left" w:pos="855"/>
        </w:tabs>
        <w:kinsoku/>
        <w:wordWrap/>
        <w:overflowPunct/>
        <w:topLinePunct w:val="0"/>
        <w:autoSpaceDE/>
        <w:autoSpaceDN/>
        <w:bidi w:val="0"/>
        <w:adjustRightInd w:val="0"/>
        <w:snapToGrid w:val="0"/>
        <w:spacing w:line="360" w:lineRule="auto"/>
        <w:ind w:right="27" w:firstLine="3840" w:firstLineChars="16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lang w:val="en-US" w:eastAsia="zh-CN"/>
        </w:rPr>
        <w:t>2024 年 02 月05</w:t>
      </w:r>
      <w:bookmarkStart w:id="0" w:name="_GoBack"/>
      <w:bookmarkEnd w:id="0"/>
      <w:r>
        <w:rPr>
          <w:rFonts w:hint="eastAsia" w:ascii="宋体" w:hAnsi="宋体" w:eastAsia="宋体" w:cs="宋体"/>
          <w:sz w:val="24"/>
          <w:szCs w:val="24"/>
          <w:lang w:val="en-US" w:eastAsia="zh-CN"/>
        </w:rPr>
        <w:t>日</w:t>
      </w:r>
    </w:p>
    <w:p>
      <w:p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p>
    <w:p>
      <w:pPr>
        <w:pStyle w:val="9"/>
        <w:pageBreakBefore/>
        <w:ind w:left="944" w:leftChars="271" w:hanging="375" w:hangingChars="134"/>
        <w:rPr>
          <w:sz w:val="28"/>
          <w:szCs w:val="28"/>
        </w:rPr>
      </w:pPr>
      <w:r>
        <w:rPr>
          <w:rFonts w:hint="eastAsia"/>
          <w:sz w:val="28"/>
          <w:szCs w:val="28"/>
        </w:rPr>
        <w:t>附表1</w:t>
      </w:r>
    </w:p>
    <w:tbl>
      <w:tblPr>
        <w:tblStyle w:val="6"/>
        <w:tblW w:w="9719" w:type="dxa"/>
        <w:tblInd w:w="0" w:type="dxa"/>
        <w:tblLayout w:type="fixed"/>
        <w:tblCellMar>
          <w:top w:w="0" w:type="dxa"/>
          <w:left w:w="108" w:type="dxa"/>
          <w:bottom w:w="0" w:type="dxa"/>
          <w:right w:w="108" w:type="dxa"/>
        </w:tblCellMar>
      </w:tblPr>
      <w:tblGrid>
        <w:gridCol w:w="783"/>
        <w:gridCol w:w="1361"/>
        <w:gridCol w:w="5175"/>
        <w:gridCol w:w="1186"/>
        <w:gridCol w:w="1214"/>
      </w:tblGrid>
      <w:tr>
        <w:tblPrEx>
          <w:tblCellMar>
            <w:top w:w="0" w:type="dxa"/>
            <w:left w:w="108" w:type="dxa"/>
            <w:bottom w:w="0" w:type="dxa"/>
            <w:right w:w="108" w:type="dxa"/>
          </w:tblCellMar>
        </w:tblPrEx>
        <w:trPr>
          <w:trHeight w:val="454" w:hRule="atLeast"/>
        </w:trPr>
        <w:tc>
          <w:tcPr>
            <w:tcW w:w="971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36"/>
                <w:szCs w:val="36"/>
              </w:rPr>
            </w:pPr>
            <w:r>
              <w:rPr>
                <w:rFonts w:hint="eastAsia" w:ascii="等线" w:hAnsi="等线" w:eastAsia="等线" w:cs="宋体"/>
                <w:color w:val="000000"/>
                <w:kern w:val="0"/>
                <w:sz w:val="36"/>
                <w:szCs w:val="36"/>
              </w:rPr>
              <w:t>粤港澳大湾区智能算力中心设备清单</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序号</w:t>
            </w:r>
          </w:p>
        </w:tc>
        <w:tc>
          <w:tcPr>
            <w:tcW w:w="1361"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类型</w:t>
            </w:r>
          </w:p>
        </w:tc>
        <w:tc>
          <w:tcPr>
            <w:tcW w:w="5175"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设备名称</w:t>
            </w:r>
          </w:p>
        </w:tc>
        <w:tc>
          <w:tcPr>
            <w:tcW w:w="1186"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单位</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数量</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w:t>
            </w:r>
          </w:p>
        </w:tc>
        <w:tc>
          <w:tcPr>
            <w:tcW w:w="13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暖通环境设备</w:t>
            </w: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变频离心式冷水机组CH-01、CH-02</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低噪音镀锌钢方形逆流式冷却塔T-01~T-02</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卧式端离心水泵（冷冻）LD01、LD02</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卧式端吸离心冷却水泵</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全自动加药装置</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循环旁流水处理器XH1、XH2</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卧式蓄冷罐</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户外水箱</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9</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风冷直膨式新风处理机组</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新风机启动柜</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新风机室外机</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恒湿机</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多联机室内机</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多联机室外机</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全热交换器</w:t>
            </w:r>
          </w:p>
        </w:tc>
        <w:tc>
          <w:tcPr>
            <w:tcW w:w="1186" w:type="dxa"/>
            <w:tcBorders>
              <w:top w:val="nil"/>
              <w:left w:val="nil"/>
              <w:bottom w:val="single" w:color="auto" w:sz="4" w:space="0"/>
              <w:right w:val="single" w:color="auto" w:sz="4" w:space="0"/>
            </w:tcBorders>
            <w:shd w:val="clear" w:color="000000" w:fill="FFFFFF"/>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低压开关柜(屏)</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17</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低压开关柜(屏)</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室外集装箱柴油发电机组</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19</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静音集装箱</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发电机输出柜</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配电箱</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22</w:t>
            </w:r>
          </w:p>
        </w:tc>
        <w:tc>
          <w:tcPr>
            <w:tcW w:w="13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办公网络安防设备</w:t>
            </w: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打印机</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安防工作站</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综合安防服务器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综合安防集成系统软件平台</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室外防水箱</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27</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视频高清解码器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出入口控制管理平台</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29</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门禁发卡设备</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出入口执行机构设备</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四门门禁控制器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32</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读卡器（带密码）</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人脸识别一体机</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24口配线架</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光缆终端盒</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IP电话交换机</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37</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IP电话机</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无线AP信息点</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39</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42U标准机柜</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LED 显示屏</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视频拼接服务器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42</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高清混合矩阵</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智能配电箱</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办公电脑</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自动化控制系统监控软件</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管道温度传感器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47</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液体压力变送器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支</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液体压力变送器安装配件</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49</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超声波流量计</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支</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防火墙</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入侵探测设备</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52</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无线控制器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上网行为管理</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ODF机架</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智能专网交换机</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智能视频存储分析设备</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57</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办公网_网管系统服务器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监控摄像机</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1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59</w:t>
            </w:r>
          </w:p>
        </w:tc>
        <w:tc>
          <w:tcPr>
            <w:tcW w:w="13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气体消防设备</w:t>
            </w: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火灾报警系统控制主机</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消防电源配电箱</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模块(模块箱)</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53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62</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点型探测器</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166</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声光报警器</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38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消防报警电话插孔(电话)</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消防报警电话插孔(电话)</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消防广播(扬声器)</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67</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喷气指示灯</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13</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紧急启停按钮</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69</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手自动按钮</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14</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空气采样探测器</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远程网络接口模块</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72</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PC LINK（有拨进/拨出功能）</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轴流通风机</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9</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空调补水箱</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气压罐</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全自动变频调速空调补水设备</w:t>
            </w:r>
          </w:p>
        </w:tc>
        <w:tc>
          <w:tcPr>
            <w:tcW w:w="1186"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1214" w:type="dxa"/>
            <w:tcBorders>
              <w:top w:val="nil"/>
              <w:left w:val="nil"/>
              <w:bottom w:val="single" w:color="auto" w:sz="4" w:space="0"/>
              <w:right w:val="single" w:color="auto" w:sz="4" w:space="0"/>
            </w:tcBorders>
            <w:shd w:val="clear" w:color="000000" w:fill="FFFFFF"/>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77</w:t>
            </w:r>
          </w:p>
        </w:tc>
        <w:tc>
          <w:tcPr>
            <w:tcW w:w="13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配电设备</w:t>
            </w: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干式变压器SCB13-2500kVA</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78</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高压成套配电柜</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79</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高压成套配电柜</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80</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直流屏30Ah 220V</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81</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低压开关柜(屏)</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9</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82</w:t>
            </w:r>
          </w:p>
        </w:tc>
        <w:tc>
          <w:tcPr>
            <w:tcW w:w="13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业务（IT）设备</w:t>
            </w: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服务器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1616</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83</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网络设备-交换机</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247</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84</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网络设备-路由器</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85</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安全设备-防火墙</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14</w:t>
            </w:r>
          </w:p>
        </w:tc>
      </w:tr>
      <w:tr>
        <w:tblPrEx>
          <w:tblCellMar>
            <w:top w:w="0" w:type="dxa"/>
            <w:left w:w="108" w:type="dxa"/>
            <w:bottom w:w="0" w:type="dxa"/>
            <w:right w:w="108" w:type="dxa"/>
          </w:tblCellMar>
        </w:tblPrEx>
        <w:trPr>
          <w:trHeight w:val="454" w:hRule="atLeast"/>
        </w:trPr>
        <w:tc>
          <w:tcPr>
            <w:tcW w:w="78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86</w:t>
            </w:r>
          </w:p>
        </w:tc>
        <w:tc>
          <w:tcPr>
            <w:tcW w:w="1361"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75"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安全设备-防护设备</w:t>
            </w:r>
          </w:p>
        </w:tc>
        <w:tc>
          <w:tcPr>
            <w:tcW w:w="1186"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1214" w:type="dxa"/>
            <w:tcBorders>
              <w:top w:val="nil"/>
              <w:left w:val="nil"/>
              <w:bottom w:val="single" w:color="auto" w:sz="4" w:space="0"/>
              <w:right w:val="single" w:color="auto" w:sz="4" w:space="0"/>
            </w:tcBorders>
            <w:shd w:val="clear" w:color="auto" w:fill="auto"/>
            <w:vAlign w:val="center"/>
          </w:tcPr>
          <w:p>
            <w:pPr>
              <w:widowControl/>
              <w:adjustRightInd/>
              <w:snapToGrid/>
              <w:jc w:val="center"/>
              <w:rPr>
                <w:rFonts w:ascii="宋体" w:hAnsi="宋体" w:eastAsia="宋体" w:cs="宋体"/>
                <w:kern w:val="0"/>
                <w:sz w:val="24"/>
                <w:szCs w:val="24"/>
              </w:rPr>
            </w:pPr>
            <w:r>
              <w:rPr>
                <w:rFonts w:hint="eastAsia" w:ascii="宋体" w:hAnsi="宋体" w:eastAsia="宋体" w:cs="宋体"/>
                <w:kern w:val="0"/>
                <w:sz w:val="24"/>
                <w:szCs w:val="24"/>
              </w:rPr>
              <w:t>16</w:t>
            </w:r>
          </w:p>
        </w:tc>
      </w:tr>
    </w:tbl>
    <w:p>
      <w:pPr>
        <w:pStyle w:val="9"/>
        <w:pageBreakBefore/>
        <w:ind w:left="944" w:leftChars="271" w:hanging="375" w:hangingChars="134"/>
        <w:rPr>
          <w:sz w:val="28"/>
          <w:szCs w:val="28"/>
        </w:rPr>
      </w:pPr>
      <w:r>
        <w:rPr>
          <w:rFonts w:hint="eastAsia"/>
          <w:sz w:val="28"/>
          <w:szCs w:val="28"/>
        </w:rPr>
        <w:t>附表2</w:t>
      </w:r>
    </w:p>
    <w:tbl>
      <w:tblPr>
        <w:tblStyle w:val="6"/>
        <w:tblW w:w="9214" w:type="dxa"/>
        <w:tblInd w:w="0" w:type="dxa"/>
        <w:tblLayout w:type="fixed"/>
        <w:tblCellMar>
          <w:top w:w="0" w:type="dxa"/>
          <w:left w:w="108" w:type="dxa"/>
          <w:bottom w:w="0" w:type="dxa"/>
          <w:right w:w="108" w:type="dxa"/>
        </w:tblCellMar>
      </w:tblPr>
      <w:tblGrid>
        <w:gridCol w:w="960"/>
        <w:gridCol w:w="3100"/>
        <w:gridCol w:w="5154"/>
      </w:tblGrid>
      <w:tr>
        <w:tblPrEx>
          <w:tblCellMar>
            <w:top w:w="0" w:type="dxa"/>
            <w:left w:w="108" w:type="dxa"/>
            <w:bottom w:w="0" w:type="dxa"/>
            <w:right w:w="108" w:type="dxa"/>
          </w:tblCellMar>
        </w:tblPrEx>
        <w:trPr>
          <w:trHeight w:val="454"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序号</w:t>
            </w:r>
          </w:p>
        </w:tc>
        <w:tc>
          <w:tcPr>
            <w:tcW w:w="31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类型</w:t>
            </w:r>
          </w:p>
        </w:tc>
        <w:tc>
          <w:tcPr>
            <w:tcW w:w="515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功能名称</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w:t>
            </w:r>
          </w:p>
        </w:tc>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专有云平台</w:t>
            </w: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VPC域名解析</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Web应用防火墙</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堡垒机</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4</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弹性伸缩资源</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5</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对象存储</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6</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分布式数据库</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7</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负载均衡</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8</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基础平台</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9</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基础设施</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10</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裸金属服务器</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11</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容器服务</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数据安全审计</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13</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私有网络管理</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14</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网络管理</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15</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文件存储</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16</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云防火墙</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17</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云服务器</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18</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云监控</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19</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云硬盘</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20</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运维平台</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21</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主机安全</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22</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运营平台</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23</w:t>
            </w:r>
          </w:p>
        </w:tc>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AI平台</w:t>
            </w: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用户管理</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24</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数据集管理</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25</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训练资源分配</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26</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推理资源分配</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27</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训练工坊</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28</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模型管理</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29</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模型部署</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30</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应用管理</w:t>
            </w:r>
          </w:p>
        </w:tc>
      </w:tr>
      <w:tr>
        <w:tblPrEx>
          <w:tblCellMar>
            <w:top w:w="0" w:type="dxa"/>
            <w:left w:w="108" w:type="dxa"/>
            <w:bottom w:w="0" w:type="dxa"/>
            <w:right w:w="108" w:type="dxa"/>
          </w:tblCellMar>
        </w:tblPrEx>
        <w:trPr>
          <w:trHeight w:val="45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31</w:t>
            </w:r>
          </w:p>
        </w:tc>
        <w:tc>
          <w:tcPr>
            <w:tcW w:w="3100" w:type="dxa"/>
            <w:vMerge w:val="continue"/>
            <w:tcBorders>
              <w:top w:val="nil"/>
              <w:left w:val="single" w:color="auto" w:sz="4" w:space="0"/>
              <w:bottom w:val="single" w:color="auto" w:sz="4" w:space="0"/>
              <w:right w:val="single" w:color="auto" w:sz="4" w:space="0"/>
            </w:tcBorders>
            <w:vAlign w:val="center"/>
          </w:tcPr>
          <w:p>
            <w:pPr>
              <w:widowControl/>
              <w:adjustRightInd/>
              <w:snapToGrid/>
              <w:rPr>
                <w:rFonts w:ascii="等线" w:hAnsi="等线" w:eastAsia="等线" w:cs="宋体"/>
                <w:color w:val="000000"/>
                <w:kern w:val="0"/>
                <w:sz w:val="24"/>
                <w:szCs w:val="24"/>
              </w:rPr>
            </w:pPr>
          </w:p>
        </w:tc>
        <w:tc>
          <w:tcPr>
            <w:tcW w:w="5154" w:type="dxa"/>
            <w:tcBorders>
              <w:top w:val="nil"/>
              <w:left w:val="nil"/>
              <w:bottom w:val="single" w:color="auto" w:sz="4" w:space="0"/>
              <w:right w:val="single" w:color="auto" w:sz="4" w:space="0"/>
            </w:tcBorders>
            <w:shd w:val="clear" w:color="auto" w:fill="auto"/>
            <w:noWrap/>
            <w:vAlign w:val="center"/>
          </w:tcPr>
          <w:p>
            <w:pPr>
              <w:widowControl/>
              <w:adjustRightInd/>
              <w:snapToGrid/>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应用编排</w:t>
            </w:r>
          </w:p>
        </w:tc>
      </w:tr>
    </w:tbl>
    <w:p/>
    <w:p>
      <w:pPr>
        <w:keepNext w:val="0"/>
        <w:keepLines w:val="0"/>
        <w:widowControl w:val="0"/>
        <w:suppressLineNumbers w:val="0"/>
        <w:spacing w:before="0" w:beforeAutospacing="0" w:after="0" w:afterAutospacing="0" w:line="360" w:lineRule="auto"/>
        <w:ind w:right="0"/>
        <w:jc w:val="left"/>
        <w:rPr>
          <w:rFonts w:hint="eastAsia" w:ascii="宋体" w:hAnsi="宋体" w:eastAsia="宋体" w:cs="宋体"/>
          <w:color w:val="000000"/>
          <w:kern w:val="0"/>
          <w:sz w:val="24"/>
          <w:szCs w:val="24"/>
          <w:lang w:val="en-US" w:eastAsia="zh-CN" w:bidi="ar"/>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398DC"/>
    <w:multiLevelType w:val="singleLevel"/>
    <w:tmpl w:val="FD8398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NzBhNWEwNjdmZDg1NWRmNTFhYTk1MjNhNTc5MzcifQ=="/>
  </w:docVars>
  <w:rsids>
    <w:rsidRoot w:val="00000000"/>
    <w:rsid w:val="02025461"/>
    <w:rsid w:val="03E35FB0"/>
    <w:rsid w:val="04C52AA7"/>
    <w:rsid w:val="0EF14A15"/>
    <w:rsid w:val="10E64F72"/>
    <w:rsid w:val="12906C5E"/>
    <w:rsid w:val="1362032D"/>
    <w:rsid w:val="156B63C0"/>
    <w:rsid w:val="171F229C"/>
    <w:rsid w:val="17CC073D"/>
    <w:rsid w:val="1AC92B69"/>
    <w:rsid w:val="1C827473"/>
    <w:rsid w:val="24782C08"/>
    <w:rsid w:val="24CE6893"/>
    <w:rsid w:val="2E3F3355"/>
    <w:rsid w:val="328843A3"/>
    <w:rsid w:val="429A10B4"/>
    <w:rsid w:val="43846624"/>
    <w:rsid w:val="444317FB"/>
    <w:rsid w:val="454C28DA"/>
    <w:rsid w:val="46A913E8"/>
    <w:rsid w:val="48C8261E"/>
    <w:rsid w:val="49123008"/>
    <w:rsid w:val="4AED0DD6"/>
    <w:rsid w:val="4B2B6C3E"/>
    <w:rsid w:val="54541EF1"/>
    <w:rsid w:val="57BE40B0"/>
    <w:rsid w:val="605E22D1"/>
    <w:rsid w:val="65CD545D"/>
    <w:rsid w:val="65F31E15"/>
    <w:rsid w:val="6F8F2B69"/>
    <w:rsid w:val="70346323"/>
    <w:rsid w:val="766703E1"/>
    <w:rsid w:val="79A279F4"/>
    <w:rsid w:val="7CAE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1"/>
    <w:autoRedefine/>
    <w:qFormat/>
    <w:uiPriority w:val="0"/>
    <w:rPr>
      <w:rFonts w:ascii="宋体" w:hAnsi="Courier New"/>
      <w:szCs w:val="20"/>
    </w:rPr>
  </w:style>
  <w:style w:type="paragraph" w:styleId="3">
    <w:name w:val="Normal Indent"/>
    <w:basedOn w:val="1"/>
    <w:autoRedefine/>
    <w:qFormat/>
    <w:uiPriority w:val="0"/>
    <w:pPr>
      <w:ind w:firstLine="420" w:firstLineChars="200"/>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Body Text 2"/>
    <w:basedOn w:val="1"/>
    <w:autoRedefine/>
    <w:qFormat/>
    <w:uiPriority w:val="0"/>
    <w:rPr>
      <w:rFonts w:ascii="宋体" w:hAnsi="宋体" w:eastAsia="宋体" w:cs="Times New Roman"/>
      <w:szCs w:val="24"/>
      <w:u w:val="single"/>
    </w:rPr>
  </w:style>
  <w:style w:type="paragraph" w:styleId="8">
    <w:name w:val="List Paragraph"/>
    <w:basedOn w:val="1"/>
    <w:autoRedefine/>
    <w:qFormat/>
    <w:uiPriority w:val="34"/>
    <w:pPr>
      <w:ind w:firstLine="420" w:firstLineChars="200"/>
    </w:pPr>
  </w:style>
  <w:style w:type="paragraph" w:styleId="9">
    <w:name w:val="No Spacing"/>
    <w:autoRedefine/>
    <w:qFormat/>
    <w:uiPriority w:val="1"/>
    <w:pPr>
      <w:widowControl w:val="0"/>
      <w:adjustRightInd w:val="0"/>
      <w:snapToGrid w:val="0"/>
      <w:ind w:firstLine="200" w:firstLineChars="200"/>
      <w:jc w:val="both"/>
    </w:pPr>
    <w:rPr>
      <w:rFonts w:ascii="微软雅黑" w:eastAsia="微软雅黑" w:hAnsiTheme="minorHAnsi"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2024-02-04T01:08:00Z</dcterms:created>
  <dc:creator>Administrator</dc:creator>
  <cp:lastModifiedBy>zho～</cp:lastModifiedBy>
  <dcterms:modified xsi:type="dcterms:W3CDTF">2024-02-05T01:36:40Z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8CF92318D4384327A6C609A2F4F3931F_13</vt:lpwstr>
  </property>
</Properties>
</file>