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ind w:firstLine="420" w:firstLineChars="200"/>
        <w:jc w:val="left"/>
        <w:rPr>
          <w:rFonts w:asciiTheme="minorEastAsia" w:hAnsiTheme="minorEastAsia"/>
        </w:rPr>
      </w:pPr>
      <w:r>
        <w:rPr>
          <w:rFonts w:hint="eastAsia" w:asciiTheme="minorEastAsia" w:hAnsiTheme="minorEastAsia"/>
        </w:rPr>
        <w:t xml:space="preserve">                                                文件编号：</w:t>
      </w: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center"/>
        <w:rPr>
          <w:rFonts w:asciiTheme="minorEastAsia" w:hAnsiTheme="minorEastAsia"/>
        </w:rPr>
      </w:pPr>
    </w:p>
    <w:p>
      <w:pPr>
        <w:spacing w:after="156" w:afterLines="50" w:line="400" w:lineRule="exact"/>
        <w:ind w:firstLine="723" w:firstLineChars="200"/>
        <w:jc w:val="center"/>
        <w:rPr>
          <w:rFonts w:asciiTheme="minorEastAsia" w:hAnsiTheme="minorEastAsia"/>
          <w:b/>
          <w:sz w:val="36"/>
          <w:szCs w:val="36"/>
        </w:rPr>
      </w:pPr>
      <w:r>
        <w:rPr>
          <w:rFonts w:hint="eastAsia" w:asciiTheme="minorEastAsia" w:hAnsiTheme="minorEastAsia"/>
          <w:b/>
          <w:sz w:val="36"/>
        </w:rPr>
        <w:t>星贸项目</w:t>
      </w:r>
    </w:p>
    <w:p>
      <w:pPr>
        <w:spacing w:after="156" w:afterLines="50" w:line="400" w:lineRule="exact"/>
        <w:ind w:firstLine="723" w:firstLineChars="200"/>
        <w:jc w:val="center"/>
        <w:rPr>
          <w:rFonts w:asciiTheme="minorEastAsia" w:hAnsiTheme="minorEastAsia"/>
          <w:b/>
          <w:sz w:val="36"/>
          <w:szCs w:val="36"/>
        </w:rPr>
      </w:pPr>
      <w:r>
        <w:rPr>
          <w:rFonts w:hint="eastAsia" w:asciiTheme="minorEastAsia" w:hAnsiTheme="minorEastAsia"/>
          <w:b/>
          <w:sz w:val="36"/>
          <w:szCs w:val="36"/>
        </w:rPr>
        <w:t>案场独家策划销售代理合同</w:t>
      </w: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甲方（委托人）：</w:t>
      </w:r>
      <w:r>
        <w:rPr>
          <w:rFonts w:hint="eastAsia" w:asciiTheme="minorEastAsia" w:hAnsiTheme="minorEastAsia"/>
          <w:sz w:val="24"/>
        </w:rPr>
        <w:t>广州市凯科星贸房地产开发有限公司</w:t>
      </w:r>
    </w:p>
    <w:p>
      <w:pPr>
        <w:tabs>
          <w:tab w:val="left" w:pos="2552"/>
        </w:tabs>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乙方（受托人）：</w:t>
      </w:r>
      <w:bookmarkStart w:id="0" w:name="_Hlk22149409"/>
      <w:r>
        <w:rPr>
          <w:rFonts w:hint="eastAsia" w:asciiTheme="minorEastAsia" w:hAnsiTheme="minorEastAsia"/>
          <w:sz w:val="24"/>
          <w:szCs w:val="24"/>
        </w:rPr>
        <w:t xml:space="preserve"> </w:t>
      </w:r>
      <w:bookmarkEnd w:id="0"/>
    </w:p>
    <w:p>
      <w:pPr>
        <w:spacing w:after="156" w:afterLines="50" w:line="400" w:lineRule="exact"/>
        <w:ind w:firstLine="420" w:firstLineChars="200"/>
        <w:jc w:val="left"/>
        <w:rPr>
          <w:rFonts w:asciiTheme="minorEastAsia" w:hAnsiTheme="minorEastAsia"/>
        </w:rPr>
      </w:pPr>
    </w:p>
    <w:p>
      <w:pPr>
        <w:spacing w:after="156" w:afterLines="50" w:line="400" w:lineRule="exact"/>
        <w:ind w:firstLine="420" w:firstLineChars="200"/>
        <w:jc w:val="left"/>
        <w:rPr>
          <w:rFonts w:asciiTheme="minorEastAsia" w:hAnsiTheme="minorEastAsia"/>
        </w:rPr>
      </w:pPr>
    </w:p>
    <w:p>
      <w:pPr>
        <w:spacing w:after="156" w:afterLines="50" w:line="400" w:lineRule="exact"/>
        <w:ind w:firstLine="723" w:firstLineChars="200"/>
        <w:jc w:val="center"/>
        <w:rPr>
          <w:rFonts w:asciiTheme="minorEastAsia" w:hAnsiTheme="minorEastAsia"/>
          <w:b/>
          <w:sz w:val="36"/>
          <w:szCs w:val="36"/>
        </w:rPr>
      </w:pPr>
      <w:r>
        <w:rPr>
          <w:rFonts w:hint="eastAsia" w:asciiTheme="minorEastAsia" w:hAnsiTheme="minorEastAsia"/>
          <w:b/>
          <w:sz w:val="36"/>
        </w:rPr>
        <w:t>星贸项目</w:t>
      </w:r>
    </w:p>
    <w:p>
      <w:pPr>
        <w:spacing w:after="156" w:afterLines="50" w:line="400" w:lineRule="exact"/>
        <w:ind w:firstLine="723" w:firstLineChars="200"/>
        <w:jc w:val="center"/>
        <w:rPr>
          <w:rFonts w:asciiTheme="minorEastAsia" w:hAnsiTheme="minorEastAsia"/>
          <w:b/>
          <w:sz w:val="36"/>
          <w:szCs w:val="36"/>
        </w:rPr>
      </w:pPr>
      <w:r>
        <w:rPr>
          <w:rFonts w:hint="eastAsia" w:asciiTheme="minorEastAsia" w:hAnsiTheme="minorEastAsia"/>
          <w:b/>
          <w:sz w:val="36"/>
          <w:szCs w:val="36"/>
        </w:rPr>
        <w:t>案场独家策划销售代理合同</w:t>
      </w:r>
    </w:p>
    <w:p>
      <w:pPr>
        <w:spacing w:after="156" w:afterLines="50" w:line="400" w:lineRule="exact"/>
        <w:ind w:firstLine="723" w:firstLineChars="200"/>
        <w:jc w:val="left"/>
        <w:rPr>
          <w:rFonts w:asciiTheme="minorEastAsia" w:hAnsiTheme="minorEastAsia"/>
          <w:b/>
          <w:sz w:val="36"/>
          <w:szCs w:val="36"/>
        </w:rPr>
      </w:pP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甲方（委托人）：</w:t>
      </w:r>
      <w:r>
        <w:rPr>
          <w:rFonts w:hint="eastAsia" w:asciiTheme="minorEastAsia" w:hAnsiTheme="minorEastAsia"/>
          <w:kern w:val="0"/>
          <w:sz w:val="24"/>
        </w:rPr>
        <w:t>广州市凯科星贸房地产开发有限公司</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通信地址：广州市黄埔区科学大道</w:t>
      </w:r>
      <w:r>
        <w:rPr>
          <w:rFonts w:asciiTheme="minorEastAsia" w:hAnsiTheme="minorEastAsia"/>
          <w:sz w:val="24"/>
          <w:szCs w:val="24"/>
        </w:rPr>
        <w:t>187</w:t>
      </w:r>
      <w:r>
        <w:rPr>
          <w:rFonts w:hint="eastAsia" w:asciiTheme="minorEastAsia" w:hAnsiTheme="minorEastAsia"/>
          <w:sz w:val="24"/>
          <w:szCs w:val="24"/>
        </w:rPr>
        <w:t>号</w:t>
      </w:r>
      <w:r>
        <w:rPr>
          <w:rFonts w:asciiTheme="minorEastAsia" w:hAnsiTheme="minorEastAsia"/>
          <w:sz w:val="24"/>
          <w:szCs w:val="24"/>
        </w:rPr>
        <w:t>A2</w:t>
      </w:r>
      <w:r>
        <w:rPr>
          <w:rFonts w:hint="eastAsia" w:asciiTheme="minorEastAsia" w:hAnsiTheme="minorEastAsia"/>
          <w:sz w:val="24"/>
          <w:szCs w:val="24"/>
        </w:rPr>
        <w:t>栋</w:t>
      </w:r>
      <w:r>
        <w:rPr>
          <w:rFonts w:asciiTheme="minorEastAsia" w:hAnsiTheme="minorEastAsia"/>
          <w:sz w:val="24"/>
          <w:szCs w:val="24"/>
        </w:rPr>
        <w:t>1101</w:t>
      </w:r>
      <w:r>
        <w:rPr>
          <w:rFonts w:hint="eastAsia" w:asciiTheme="minorEastAsia" w:hAnsiTheme="minorEastAsia"/>
          <w:sz w:val="24"/>
          <w:szCs w:val="24"/>
        </w:rPr>
        <w:t>室</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电话：86 20 </w:t>
      </w:r>
      <w:r>
        <w:rPr>
          <w:rFonts w:asciiTheme="minorEastAsia" w:hAnsiTheme="minorEastAsia"/>
          <w:sz w:val="24"/>
          <w:szCs w:val="24"/>
        </w:rPr>
        <w:t>62651842</w:t>
      </w:r>
      <w:r>
        <w:rPr>
          <w:rFonts w:hint="eastAsia" w:asciiTheme="minorEastAsia" w:hAnsiTheme="minorEastAsia"/>
          <w:sz w:val="24"/>
          <w:szCs w:val="24"/>
        </w:rPr>
        <w:t xml:space="preserve">      </w:t>
      </w:r>
    </w:p>
    <w:p>
      <w:pPr>
        <w:spacing w:after="156" w:afterLines="50" w:line="400" w:lineRule="exact"/>
        <w:ind w:firstLine="480" w:firstLineChars="200"/>
        <w:jc w:val="left"/>
        <w:rPr>
          <w:rFonts w:asciiTheme="minorEastAsia" w:hAnsiTheme="minorEastAsia"/>
          <w:sz w:val="24"/>
          <w:szCs w:val="24"/>
        </w:rPr>
      </w:pP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乙方（受托人）： </w:t>
      </w:r>
    </w:p>
    <w:p>
      <w:pPr>
        <w:spacing w:after="156" w:afterLines="50" w:line="400" w:lineRule="exact"/>
        <w:ind w:firstLine="480" w:firstLineChars="200"/>
        <w:jc w:val="left"/>
        <w:rPr>
          <w:rFonts w:cs="宋体" w:asciiTheme="minorEastAsia" w:hAnsiTheme="minorEastAsia"/>
          <w:sz w:val="24"/>
          <w:szCs w:val="24"/>
        </w:rPr>
      </w:pPr>
      <w:r>
        <w:rPr>
          <w:rFonts w:hint="eastAsia" w:asciiTheme="minorEastAsia" w:hAnsiTheme="minorEastAsia"/>
          <w:sz w:val="24"/>
          <w:szCs w:val="24"/>
        </w:rPr>
        <w:t>通信地址：</w:t>
      </w:r>
      <w:r>
        <w:rPr>
          <w:rFonts w:hint="eastAsia" w:cs="宋体" w:asciiTheme="minorEastAsia" w:hAnsiTheme="minorEastAsia"/>
          <w:sz w:val="24"/>
          <w:szCs w:val="24"/>
        </w:rPr>
        <w:t xml:space="preserve"> </w:t>
      </w:r>
    </w:p>
    <w:p>
      <w:pPr>
        <w:spacing w:after="156" w:afterLines="50" w:line="400" w:lineRule="exact"/>
        <w:jc w:val="left"/>
        <w:rPr>
          <w:rFonts w:asciiTheme="minorEastAsia" w:hAnsiTheme="minorEastAsia"/>
          <w:sz w:val="24"/>
          <w:szCs w:val="24"/>
        </w:rPr>
      </w:pPr>
      <w:r>
        <w:rPr>
          <w:rFonts w:hint="eastAsia" w:asciiTheme="minorEastAsia" w:hAnsiTheme="minorEastAsia"/>
          <w:sz w:val="24"/>
          <w:szCs w:val="24"/>
        </w:rPr>
        <w:t xml:space="preserve">    电话：</w:t>
      </w:r>
    </w:p>
    <w:p>
      <w:pPr>
        <w:spacing w:after="156" w:afterLines="50" w:line="400" w:lineRule="exact"/>
        <w:ind w:firstLine="424" w:firstLineChars="177"/>
        <w:jc w:val="left"/>
        <w:rPr>
          <w:rFonts w:asciiTheme="minorEastAsia" w:hAnsiTheme="minorEastAsia"/>
          <w:sz w:val="24"/>
          <w:szCs w:val="24"/>
        </w:rPr>
      </w:pPr>
    </w:p>
    <w:p>
      <w:pPr>
        <w:spacing w:after="156" w:afterLines="50" w:line="400" w:lineRule="exact"/>
        <w:ind w:firstLine="424" w:firstLineChars="177"/>
        <w:jc w:val="left"/>
        <w:rPr>
          <w:rFonts w:asciiTheme="minorEastAsia" w:hAnsiTheme="minorEastAsia"/>
          <w:sz w:val="24"/>
          <w:szCs w:val="24"/>
        </w:rPr>
      </w:pPr>
      <w:r>
        <w:rPr>
          <w:rFonts w:hint="eastAsia" w:asciiTheme="minorEastAsia" w:hAnsiTheme="minorEastAsia"/>
          <w:sz w:val="24"/>
          <w:szCs w:val="24"/>
        </w:rPr>
        <w:t>甲方为</w:t>
      </w:r>
      <w:r>
        <w:rPr>
          <w:rFonts w:hint="eastAsia" w:asciiTheme="minorEastAsia" w:hAnsiTheme="minorEastAsia"/>
          <w:sz w:val="24"/>
        </w:rPr>
        <w:t>星贸项目</w:t>
      </w:r>
      <w:r>
        <w:rPr>
          <w:rFonts w:hint="eastAsia" w:asciiTheme="minorEastAsia" w:hAnsiTheme="minorEastAsia"/>
          <w:sz w:val="24"/>
          <w:szCs w:val="24"/>
        </w:rPr>
        <w:t>（以下简称“本项目”）之开发商，甲、乙双方本着互惠互利、真诚合作的原则，就甲方委托乙方提供本项目之全程营销策划及销售代理服务事宜达成本合同，双方应恪守信用，共同执行本合同所有条款：</w:t>
      </w:r>
    </w:p>
    <w:p>
      <w:pPr>
        <w:spacing w:after="156" w:afterLines="50" w:line="400" w:lineRule="exact"/>
        <w:ind w:firstLine="480" w:firstLineChars="200"/>
        <w:jc w:val="left"/>
        <w:rPr>
          <w:rFonts w:asciiTheme="minorEastAsia" w:hAnsiTheme="minorEastAsia"/>
          <w:sz w:val="24"/>
          <w:szCs w:val="24"/>
        </w:rPr>
      </w:pPr>
    </w:p>
    <w:p>
      <w:pPr>
        <w:spacing w:after="156" w:afterLines="50" w:line="400" w:lineRule="exact"/>
        <w:ind w:firstLine="482" w:firstLineChars="200"/>
        <w:jc w:val="left"/>
        <w:rPr>
          <w:rFonts w:asciiTheme="minorEastAsia" w:hAnsiTheme="minorEastAsia"/>
          <w:b/>
          <w:sz w:val="24"/>
        </w:rPr>
      </w:pPr>
      <w:r>
        <w:rPr>
          <w:rFonts w:hint="eastAsia" w:asciiTheme="minorEastAsia" w:hAnsiTheme="minorEastAsia"/>
          <w:b/>
          <w:sz w:val="24"/>
        </w:rPr>
        <w:t>1 案场独家代理合同标的</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1.1 本项目名称：星贸项目</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1.2 本项目位置：位于广州市黄埔区科学城科学大道以北、凝彩路以东</w:t>
      </w:r>
      <w:r>
        <w:rPr>
          <w:rFonts w:hint="eastAsia" w:asciiTheme="minorEastAsia" w:hAnsiTheme="minorEastAsia"/>
          <w:sz w:val="24"/>
          <w:highlight w:val="none"/>
        </w:rPr>
        <w:t>（科学城环山岭公园）</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1.3 </w:t>
      </w:r>
      <w:r>
        <w:rPr>
          <w:rFonts w:hint="eastAsia" w:asciiTheme="minorEastAsia" w:hAnsiTheme="minorEastAsia"/>
          <w:sz w:val="24"/>
        </w:rPr>
        <w:t>物业类型</w:t>
      </w:r>
      <w:r>
        <w:rPr>
          <w:rFonts w:asciiTheme="minorEastAsia" w:hAnsiTheme="minorEastAsia"/>
          <w:sz w:val="24"/>
        </w:rPr>
        <w:t>:</w:t>
      </w:r>
      <w:r>
        <w:rPr>
          <w:rFonts w:hint="eastAsia" w:asciiTheme="minorEastAsia" w:hAnsiTheme="minorEastAsia"/>
          <w:sz w:val="24"/>
        </w:rPr>
        <w:t>L</w:t>
      </w:r>
      <w:r>
        <w:rPr>
          <w:rFonts w:asciiTheme="minorEastAsia" w:hAnsiTheme="minorEastAsia"/>
          <w:sz w:val="24"/>
        </w:rPr>
        <w:t>OFT</w:t>
      </w:r>
      <w:r>
        <w:rPr>
          <w:rFonts w:hint="eastAsia" w:asciiTheme="minorEastAsia" w:hAnsiTheme="minorEastAsia"/>
          <w:sz w:val="24"/>
        </w:rPr>
        <w:t>办公、小企业总部、商铺</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1.4 </w:t>
      </w:r>
      <w:r>
        <w:rPr>
          <w:rFonts w:hint="eastAsia" w:asciiTheme="minorEastAsia" w:hAnsiTheme="minorEastAsia"/>
          <w:sz w:val="24"/>
        </w:rPr>
        <w:t>本项目面积</w:t>
      </w:r>
      <w:r>
        <w:rPr>
          <w:rFonts w:asciiTheme="minorEastAsia" w:hAnsiTheme="minorEastAsia"/>
          <w:sz w:val="24"/>
        </w:rPr>
        <w:t>:</w:t>
      </w:r>
      <w:r>
        <w:rPr>
          <w:rFonts w:hint="eastAsia" w:asciiTheme="minorEastAsia" w:hAnsiTheme="minorEastAsia"/>
          <w:sz w:val="24"/>
        </w:rPr>
        <w:t>本项目</w:t>
      </w:r>
      <w:r>
        <w:rPr>
          <w:rFonts w:asciiTheme="minorEastAsia" w:hAnsiTheme="minorEastAsia"/>
          <w:sz w:val="24"/>
        </w:rPr>
        <w:t>总建筑面积约15万平方米</w:t>
      </w:r>
      <w:r>
        <w:rPr>
          <w:rFonts w:hint="eastAsia" w:asciiTheme="minorEastAsia" w:hAnsiTheme="minorEastAsia"/>
          <w:sz w:val="24"/>
        </w:rPr>
        <w:t>，其中自持7</w:t>
      </w:r>
      <w:r>
        <w:rPr>
          <w:rFonts w:asciiTheme="minorEastAsia" w:hAnsiTheme="minorEastAsia"/>
          <w:sz w:val="24"/>
        </w:rPr>
        <w:t>0</w:t>
      </w:r>
      <w:r>
        <w:rPr>
          <w:rFonts w:hint="eastAsia" w:asciiTheme="minorEastAsia" w:hAnsiTheme="minorEastAsia"/>
          <w:sz w:val="24"/>
        </w:rPr>
        <w:t>%，可售3</w:t>
      </w:r>
      <w:r>
        <w:rPr>
          <w:rFonts w:asciiTheme="minorEastAsia" w:hAnsiTheme="minorEastAsia"/>
          <w:sz w:val="24"/>
        </w:rPr>
        <w:t>0</w:t>
      </w:r>
      <w:r>
        <w:rPr>
          <w:rFonts w:hint="eastAsia" w:asciiTheme="minorEastAsia" w:hAnsiTheme="minorEastAsia"/>
          <w:sz w:val="24"/>
        </w:rPr>
        <w:t>%，可售面积约4</w:t>
      </w:r>
      <w:r>
        <w:rPr>
          <w:rFonts w:asciiTheme="minorEastAsia" w:hAnsiTheme="minorEastAsia"/>
          <w:sz w:val="24"/>
        </w:rPr>
        <w:t>.5</w:t>
      </w:r>
      <w:r>
        <w:rPr>
          <w:rFonts w:hint="eastAsia" w:asciiTheme="minorEastAsia" w:hAnsiTheme="minorEastAsia"/>
          <w:sz w:val="24"/>
        </w:rPr>
        <w:t>万㎡，可售产品包含L</w:t>
      </w:r>
      <w:r>
        <w:rPr>
          <w:rFonts w:asciiTheme="minorEastAsia" w:hAnsiTheme="minorEastAsia"/>
          <w:sz w:val="24"/>
        </w:rPr>
        <w:t>OFT</w:t>
      </w:r>
      <w:r>
        <w:rPr>
          <w:rFonts w:hint="eastAsia" w:asciiTheme="minorEastAsia" w:hAnsiTheme="minorEastAsia"/>
          <w:sz w:val="24"/>
        </w:rPr>
        <w:t>办公、小企业总部及商铺，详见附件1《星贸项目总可售产品货量表》</w:t>
      </w:r>
      <w:r>
        <w:rPr>
          <w:rFonts w:asciiTheme="minorEastAsia" w:hAnsiTheme="minorEastAsia"/>
          <w:sz w:val="24"/>
        </w:rPr>
        <w:t>。乙方受托销售代理的物</w:t>
      </w:r>
      <w:r>
        <w:rPr>
          <w:rFonts w:hint="eastAsia" w:asciiTheme="minorEastAsia" w:hAnsiTheme="minorEastAsia"/>
          <w:sz w:val="24"/>
        </w:rPr>
        <w:t>业为本项目可售L</w:t>
      </w:r>
      <w:r>
        <w:rPr>
          <w:rFonts w:asciiTheme="minorEastAsia" w:hAnsiTheme="minorEastAsia"/>
          <w:sz w:val="24"/>
        </w:rPr>
        <w:t>OFT</w:t>
      </w:r>
      <w:r>
        <w:rPr>
          <w:rFonts w:hint="eastAsia" w:asciiTheme="minorEastAsia" w:hAnsiTheme="minorEastAsia"/>
          <w:sz w:val="24"/>
        </w:rPr>
        <w:t>办公、小企业总部及商铺。上述可售物业需分期、分批销售，每批次/每期具体销售面积、套数等在每批次/每期推售前以甲方确认的《委托销售代理房号明细表》为准。甲方在正式销售前将《委托销售代理房号明细表》及预售许可证提供给乙方以保证销售计划的顺利实施。</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1.5 代理方式：本项目采用案场独家策划销售代理的方式，但甲方有权根据乙方团队表现、业绩达成情况等阶段性考核指标，增加或替换本项目之策划销售代理公司，即经甲方确认的其他第三方代理公司（以下称联合代理方）共同联合策划销售代理之推售物业。</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1.6相关定义</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1.6.1</w:t>
      </w:r>
      <w:r>
        <w:rPr>
          <w:rFonts w:hint="eastAsia" w:asciiTheme="minorEastAsia" w:hAnsiTheme="minorEastAsia"/>
          <w:sz w:val="24"/>
        </w:rPr>
        <w:t>“购房款”：包括但不限于客户在交纳其认购单位的购房款、应缴纳的相关税费、物业维修资金等费用。</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“买卖合同总金额”：甲方与客户签署的买卖合同及与买卖合同相关补充协议或附加合同等所有相关法律文件中约定的实际总房价。</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1.6.2“成功代理销售”</w:t>
      </w:r>
      <w:r>
        <w:rPr>
          <w:rFonts w:hint="eastAsia" w:asciiTheme="minorEastAsia" w:hAnsiTheme="minorEastAsia"/>
          <w:sz w:val="24"/>
        </w:rPr>
        <w:t>（或称“成交”）</w:t>
      </w:r>
      <w:r>
        <w:rPr>
          <w:rFonts w:asciiTheme="minorEastAsia" w:hAnsiTheme="minorEastAsia"/>
          <w:sz w:val="24"/>
        </w:rPr>
        <w:t>的认定标准：</w:t>
      </w:r>
      <w:r>
        <w:rPr>
          <w:rFonts w:hint="eastAsia" w:asciiTheme="minorEastAsia" w:hAnsiTheme="minorEastAsia"/>
          <w:sz w:val="24"/>
        </w:rPr>
        <w:t>乙方促成销售的单位已网签买卖合同、办妥买卖合同预告登记手续（现售物业为办妥不动产权证）且甲方收齐该单位的首期款。</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1.6.3</w:t>
      </w:r>
      <w:r>
        <w:rPr>
          <w:rFonts w:hint="eastAsia" w:asciiTheme="minorEastAsia" w:hAnsiTheme="minorEastAsia"/>
          <w:sz w:val="24"/>
        </w:rPr>
        <w:t xml:space="preserve"> 乙方达成销售业绩的认定标准为：乙方促成销售的单位签署认购书且甲方收齐该单位的定金。</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1.6.4公开发售日：是指项目在公共媒体上（包括但不限于报纸、电视、网络、户外广告及广播等）第一次发布广告宣传的正式发售日，且须符合开盘销售的基本条件，具体包括：取得房地产预售许可证，售楼处、样板房、以及部分工程主体外立面展示等条件均齐备。甲方有义务与乙方书面确认本项目具体的公开发售日期。</w:t>
      </w:r>
    </w:p>
    <w:p>
      <w:pPr>
        <w:spacing w:after="156" w:afterLines="50" w:line="400" w:lineRule="exact"/>
        <w:ind w:firstLine="482" w:firstLineChars="200"/>
        <w:jc w:val="left"/>
        <w:rPr>
          <w:rFonts w:asciiTheme="minorEastAsia" w:hAnsiTheme="minorEastAsia"/>
          <w:b/>
          <w:sz w:val="24"/>
        </w:rPr>
      </w:pPr>
    </w:p>
    <w:p>
      <w:pPr>
        <w:spacing w:after="156" w:afterLines="50" w:line="400" w:lineRule="exact"/>
        <w:ind w:firstLine="482" w:firstLineChars="200"/>
        <w:jc w:val="left"/>
        <w:rPr>
          <w:rFonts w:asciiTheme="minorEastAsia" w:hAnsiTheme="minorEastAsia"/>
          <w:b/>
          <w:sz w:val="24"/>
        </w:rPr>
      </w:pPr>
      <w:r>
        <w:rPr>
          <w:rFonts w:hint="eastAsia" w:asciiTheme="minorEastAsia" w:hAnsiTheme="minorEastAsia"/>
          <w:b/>
          <w:sz w:val="24"/>
        </w:rPr>
        <w:t>2 服务代理期限</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2.1乙方销售代理期限：</w:t>
      </w:r>
      <w:bookmarkStart w:id="1" w:name="_Hlk80902669"/>
      <w:r>
        <w:rPr>
          <w:rFonts w:hint="eastAsia" w:asciiTheme="minorEastAsia" w:hAnsiTheme="minorEastAsia"/>
          <w:sz w:val="24"/>
        </w:rPr>
        <w:t>自公开发售日起</w:t>
      </w:r>
      <w:r>
        <w:rPr>
          <w:rFonts w:asciiTheme="minorEastAsia" w:hAnsiTheme="minorEastAsia"/>
          <w:sz w:val="24"/>
        </w:rPr>
        <w:t>24</w:t>
      </w:r>
      <w:r>
        <w:rPr>
          <w:rFonts w:hint="eastAsia" w:asciiTheme="minorEastAsia" w:hAnsiTheme="minorEastAsia"/>
          <w:sz w:val="24"/>
        </w:rPr>
        <w:t>个月内</w:t>
      </w:r>
      <w:bookmarkEnd w:id="1"/>
      <w:r>
        <w:rPr>
          <w:rFonts w:hint="eastAsia" w:asciiTheme="minorEastAsia" w:hAnsiTheme="minorEastAsia"/>
          <w:sz w:val="24"/>
        </w:rPr>
        <w:t>。</w:t>
      </w:r>
    </w:p>
    <w:p>
      <w:pPr>
        <w:spacing w:after="156" w:afterLines="50" w:line="400" w:lineRule="exact"/>
        <w:ind w:firstLine="480" w:firstLineChars="200"/>
        <w:jc w:val="left"/>
        <w:rPr>
          <w:rFonts w:asciiTheme="minorEastAsia" w:hAnsiTheme="minorEastAsia"/>
          <w:sz w:val="24"/>
          <w:szCs w:val="24"/>
        </w:rPr>
      </w:pPr>
      <w:r>
        <w:rPr>
          <w:rFonts w:asciiTheme="minorEastAsia" w:hAnsiTheme="minorEastAsia"/>
          <w:sz w:val="24"/>
        </w:rPr>
        <w:t>2.</w:t>
      </w:r>
      <w:r>
        <w:rPr>
          <w:rFonts w:asciiTheme="minorEastAsia" w:hAnsiTheme="minorEastAsia"/>
          <w:color w:val="000000" w:themeColor="text1"/>
          <w:sz w:val="24"/>
          <w14:textFill>
            <w14:solidFill>
              <w14:schemeClr w14:val="tx1"/>
            </w14:solidFill>
          </w14:textFill>
        </w:rPr>
        <w:t>2销售代理期满，双方视具体情况再行协商后续合作事宜，并以书面形式确认，否则销售代理期限自本合同约定的届满之日起终止；若乙方连续</w:t>
      </w:r>
      <w:r>
        <w:rPr>
          <w:rFonts w:hint="eastAsia" w:asciiTheme="minorEastAsia" w:hAnsiTheme="minorEastAsia"/>
          <w:color w:val="000000" w:themeColor="text1"/>
          <w:sz w:val="24"/>
          <w14:textFill>
            <w14:solidFill>
              <w14:schemeClr w14:val="tx1"/>
            </w14:solidFill>
          </w14:textFill>
        </w:rPr>
        <w:t>三</w:t>
      </w:r>
      <w:r>
        <w:rPr>
          <w:rFonts w:hint="eastAsia" w:asciiTheme="minorEastAsia" w:hAnsiTheme="minorEastAsia"/>
          <w:color w:val="000000" w:themeColor="text1"/>
          <w:sz w:val="24"/>
          <w14:textFill>
            <w14:solidFill>
              <w14:schemeClr w14:val="tx1"/>
            </w14:solidFill>
          </w14:textFill>
        </w:rPr>
        <w:t>个</w:t>
      </w:r>
      <w:r>
        <w:rPr>
          <w:rFonts w:asciiTheme="minorEastAsia" w:hAnsiTheme="minorEastAsia"/>
          <w:color w:val="000000" w:themeColor="text1"/>
          <w:sz w:val="24"/>
          <w14:textFill>
            <w14:solidFill>
              <w14:schemeClr w14:val="tx1"/>
            </w14:solidFill>
          </w14:textFill>
        </w:rPr>
        <w:t>月</w:t>
      </w:r>
      <w:r>
        <w:rPr>
          <w:rFonts w:hint="eastAsia" w:asciiTheme="minorEastAsia" w:hAnsiTheme="minorEastAsia"/>
          <w:color w:val="000000" w:themeColor="text1"/>
          <w:sz w:val="24"/>
          <w14:textFill>
            <w14:solidFill>
              <w14:schemeClr w14:val="tx1"/>
            </w14:solidFill>
          </w14:textFill>
        </w:rPr>
        <w:t>未完成销售任务，</w:t>
      </w:r>
      <w:r>
        <w:rPr>
          <w:rFonts w:hint="eastAsia" w:asciiTheme="minorEastAsia" w:hAnsiTheme="minorEastAsia"/>
          <w:color w:val="000000" w:themeColor="text1"/>
          <w:sz w:val="24"/>
          <w14:textFill>
            <w14:solidFill>
              <w14:schemeClr w14:val="tx1"/>
            </w14:solidFill>
          </w14:textFill>
        </w:rPr>
        <w:t>甲方有权引入其他代理联合销售；若乙方连续六个</w:t>
      </w:r>
      <w:r>
        <w:rPr>
          <w:rFonts w:asciiTheme="minorEastAsia" w:hAnsiTheme="minorEastAsia"/>
          <w:color w:val="000000" w:themeColor="text1"/>
          <w:sz w:val="24"/>
          <w14:textFill>
            <w14:solidFill>
              <w14:schemeClr w14:val="tx1"/>
            </w14:solidFill>
          </w14:textFill>
        </w:rPr>
        <w:t>月</w:t>
      </w:r>
      <w:r>
        <w:rPr>
          <w:rFonts w:hint="eastAsia" w:asciiTheme="minorEastAsia" w:hAnsiTheme="minorEastAsia"/>
          <w:color w:val="000000" w:themeColor="text1"/>
          <w:sz w:val="24"/>
          <w14:textFill>
            <w14:solidFill>
              <w14:schemeClr w14:val="tx1"/>
            </w14:solidFill>
          </w14:textFill>
        </w:rPr>
        <w:t>未完成销售任务，</w:t>
      </w:r>
      <w:r>
        <w:rPr>
          <w:rFonts w:hint="eastAsia" w:asciiTheme="minorEastAsia" w:hAnsiTheme="minorEastAsia"/>
          <w:color w:val="000000" w:themeColor="text1"/>
          <w:sz w:val="24"/>
          <w14:textFill>
            <w14:solidFill>
              <w14:schemeClr w14:val="tx1"/>
            </w14:solidFill>
          </w14:textFill>
        </w:rPr>
        <w:t>甲方有权解除合同，另行委托第三方代理。销售</w:t>
      </w:r>
      <w:r>
        <w:rPr>
          <w:rFonts w:hint="eastAsia" w:asciiTheme="minorEastAsia" w:hAnsiTheme="minorEastAsia"/>
          <w:color w:val="000000" w:themeColor="text1"/>
          <w:sz w:val="24"/>
          <w:highlight w:val="none"/>
          <w14:textFill>
            <w14:solidFill>
              <w14:schemeClr w14:val="tx1"/>
            </w14:solidFill>
          </w14:textFill>
        </w:rPr>
        <w:t>业绩下达</w:t>
      </w:r>
      <w:r>
        <w:rPr>
          <w:rFonts w:hint="eastAsia" w:asciiTheme="minorEastAsia" w:hAnsiTheme="minorEastAsia"/>
          <w:color w:val="000000" w:themeColor="text1"/>
          <w:sz w:val="24"/>
          <w14:textFill>
            <w14:solidFill>
              <w14:schemeClr w14:val="tx1"/>
            </w14:solidFill>
          </w14:textFill>
        </w:rPr>
        <w:t>以甲方下发的书面通知为准，该</w:t>
      </w:r>
      <w:r>
        <w:rPr>
          <w:rFonts w:hint="eastAsia" w:asciiTheme="minorEastAsia" w:hAnsiTheme="minorEastAsia"/>
          <w:color w:val="000000" w:themeColor="text1"/>
          <w:sz w:val="24"/>
          <w:highlight w:val="none"/>
          <w14:textFill>
            <w14:solidFill>
              <w14:schemeClr w14:val="tx1"/>
            </w14:solidFill>
          </w14:textFill>
        </w:rPr>
        <w:t>业绩</w:t>
      </w:r>
      <w:r>
        <w:rPr>
          <w:rFonts w:hint="eastAsia" w:asciiTheme="minorEastAsia" w:hAnsiTheme="minorEastAsia"/>
          <w:color w:val="000000" w:themeColor="text1"/>
          <w:sz w:val="24"/>
          <w14:textFill>
            <w14:solidFill>
              <w14:schemeClr w14:val="tx1"/>
            </w14:solidFill>
          </w14:textFill>
        </w:rPr>
        <w:t>目标作为考核标准，佣金结算</w:t>
      </w:r>
      <w:r>
        <w:rPr>
          <w:rFonts w:hint="eastAsia" w:asciiTheme="minorEastAsia" w:hAnsiTheme="minorEastAsia"/>
          <w:color w:val="000000" w:themeColor="text1"/>
          <w:sz w:val="24"/>
          <w:highlight w:val="none"/>
          <w14:textFill>
            <w14:solidFill>
              <w14:schemeClr w14:val="tx1"/>
            </w14:solidFill>
          </w14:textFill>
        </w:rPr>
        <w:t>以季度考核业绩目标为</w:t>
      </w:r>
      <w:r>
        <w:rPr>
          <w:rFonts w:hint="eastAsia" w:asciiTheme="minorEastAsia" w:hAnsiTheme="minorEastAsia"/>
          <w:color w:val="000000" w:themeColor="text1"/>
          <w:sz w:val="24"/>
          <w14:textFill>
            <w14:solidFill>
              <w14:schemeClr w14:val="tx1"/>
            </w14:solidFill>
          </w14:textFill>
        </w:rPr>
        <w:t>准。</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2.3销售代理期满后，除非双方另有书面约定，乙方不再代理本项目的销</w:t>
      </w:r>
      <w:r>
        <w:rPr>
          <w:rFonts w:hint="eastAsia" w:asciiTheme="minorEastAsia" w:hAnsiTheme="minorEastAsia"/>
          <w:sz w:val="24"/>
        </w:rPr>
        <w:t>售，但</w:t>
      </w:r>
      <w:r>
        <w:rPr>
          <w:rFonts w:asciiTheme="minorEastAsia" w:hAnsiTheme="minorEastAsia"/>
          <w:sz w:val="24"/>
          <w:szCs w:val="24"/>
        </w:rPr>
        <w:t>乙方有义务协助甲方完成乙方</w:t>
      </w:r>
      <w:r>
        <w:rPr>
          <w:rFonts w:hint="eastAsia" w:asciiTheme="minorEastAsia" w:hAnsiTheme="minorEastAsia"/>
          <w:sz w:val="24"/>
          <w:szCs w:val="24"/>
        </w:rPr>
        <w:t>销售</w:t>
      </w:r>
      <w:r>
        <w:rPr>
          <w:rFonts w:asciiTheme="minorEastAsia" w:hAnsiTheme="minorEastAsia"/>
          <w:sz w:val="24"/>
          <w:szCs w:val="24"/>
        </w:rPr>
        <w:t>代理期内所销售单位的</w:t>
      </w:r>
      <w:r>
        <w:rPr>
          <w:rFonts w:hint="eastAsia" w:asciiTheme="minorEastAsia" w:hAnsiTheme="minorEastAsia"/>
          <w:sz w:val="24"/>
          <w:szCs w:val="24"/>
        </w:rPr>
        <w:t>交</w:t>
      </w:r>
      <w:r>
        <w:rPr>
          <w:rFonts w:asciiTheme="minorEastAsia" w:hAnsiTheme="minorEastAsia"/>
          <w:sz w:val="24"/>
          <w:szCs w:val="24"/>
        </w:rPr>
        <w:t>楼工作。</w:t>
      </w:r>
      <w:r>
        <w:rPr>
          <w:rFonts w:hint="eastAsia" w:asciiTheme="minorEastAsia" w:hAnsiTheme="minorEastAsia"/>
          <w:sz w:val="24"/>
        </w:rPr>
        <w:t>在交楼期间，乙方按甲方分期交楼的需要在各个集中交楼期派人协助甲方完成房屋交付工作等相关后期服务；集中交楼期间（每次不多于10天，具体时间以甲方书面通知为准），乙方应安排至少</w:t>
      </w:r>
      <w:r>
        <w:rPr>
          <w:rFonts w:asciiTheme="minorEastAsia" w:hAnsiTheme="minorEastAsia"/>
          <w:sz w:val="24"/>
        </w:rPr>
        <w:t>2</w:t>
      </w:r>
      <w:r>
        <w:rPr>
          <w:rFonts w:hint="eastAsia" w:asciiTheme="minorEastAsia" w:hAnsiTheme="minorEastAsia"/>
          <w:sz w:val="24"/>
        </w:rPr>
        <w:t>名销售人员在现场协助甲方交楼工作，尽量由原来销售队伍中抽调。</w:t>
      </w:r>
    </w:p>
    <w:p>
      <w:pPr>
        <w:spacing w:after="156" w:afterLines="50" w:line="400" w:lineRule="exact"/>
        <w:ind w:firstLine="482" w:firstLineChars="200"/>
        <w:jc w:val="left"/>
        <w:rPr>
          <w:rFonts w:asciiTheme="minorEastAsia" w:hAnsiTheme="minorEastAsia"/>
          <w:b/>
          <w:sz w:val="24"/>
        </w:rPr>
      </w:pPr>
    </w:p>
    <w:p>
      <w:pPr>
        <w:spacing w:after="156" w:afterLines="50" w:line="400" w:lineRule="exact"/>
        <w:ind w:firstLine="482" w:firstLineChars="200"/>
        <w:jc w:val="left"/>
        <w:rPr>
          <w:rFonts w:asciiTheme="minorEastAsia" w:hAnsiTheme="minorEastAsia"/>
          <w:b/>
          <w:sz w:val="24"/>
        </w:rPr>
      </w:pPr>
      <w:r>
        <w:rPr>
          <w:rFonts w:hint="eastAsia" w:asciiTheme="minorEastAsia" w:hAnsiTheme="minorEastAsia"/>
          <w:b/>
          <w:sz w:val="24"/>
        </w:rPr>
        <w:t>3 双方声明和保证</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3</w:t>
      </w:r>
      <w:r>
        <w:rPr>
          <w:rFonts w:asciiTheme="minorEastAsia" w:hAnsiTheme="minorEastAsia"/>
          <w:sz w:val="24"/>
        </w:rPr>
        <w:t>.1</w:t>
      </w:r>
      <w:r>
        <w:rPr>
          <w:rFonts w:hint="eastAsia" w:asciiTheme="minorEastAsia" w:hAnsiTheme="minorEastAsia"/>
          <w:sz w:val="24"/>
        </w:rPr>
        <w:t>甲方向乙方保证，在签署本合同时及本合同有效期限内：</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3</w:t>
      </w:r>
      <w:r>
        <w:rPr>
          <w:rFonts w:asciiTheme="minorEastAsia" w:hAnsiTheme="minorEastAsia"/>
          <w:sz w:val="24"/>
        </w:rPr>
        <w:t>.1.1</w:t>
      </w:r>
      <w:r>
        <w:rPr>
          <w:rFonts w:hint="eastAsia" w:asciiTheme="minorEastAsia" w:hAnsiTheme="minorEastAsia"/>
          <w:sz w:val="24"/>
        </w:rPr>
        <w:t>甲方系在中国正式成立和登记的法人，有依其章程规定、在其企业法人营业执照规定的经营范围内行事的法律能力；</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3</w:t>
      </w:r>
      <w:r>
        <w:rPr>
          <w:rFonts w:asciiTheme="minorEastAsia" w:hAnsiTheme="minorEastAsia"/>
          <w:sz w:val="24"/>
        </w:rPr>
        <w:t>.1.2</w:t>
      </w:r>
      <w:r>
        <w:rPr>
          <w:rFonts w:hint="eastAsia" w:asciiTheme="minorEastAsia" w:hAnsiTheme="minorEastAsia"/>
          <w:sz w:val="24"/>
        </w:rPr>
        <w:t>本项目土地性质是合法商品房用地，房产为可合法销售的商品房，甲方系本项目唯一合法产权人，有签署和执行本合同一切条款的权利和权力。</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3</w:t>
      </w:r>
      <w:r>
        <w:rPr>
          <w:rFonts w:asciiTheme="minorEastAsia" w:hAnsiTheme="minorEastAsia"/>
          <w:sz w:val="24"/>
        </w:rPr>
        <w:t>.2</w:t>
      </w:r>
      <w:r>
        <w:rPr>
          <w:rFonts w:hint="eastAsia" w:asciiTheme="minorEastAsia" w:hAnsiTheme="minorEastAsia"/>
          <w:sz w:val="24"/>
        </w:rPr>
        <w:t>乙方向甲方保证，在签署本合同时及本合同有效期限内：</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3</w:t>
      </w:r>
      <w:r>
        <w:rPr>
          <w:rFonts w:asciiTheme="minorEastAsia" w:hAnsiTheme="minorEastAsia"/>
          <w:sz w:val="24"/>
        </w:rPr>
        <w:t>.2.1</w:t>
      </w:r>
      <w:r>
        <w:rPr>
          <w:rFonts w:hint="eastAsia" w:asciiTheme="minorEastAsia" w:hAnsiTheme="minorEastAsia"/>
          <w:sz w:val="24"/>
        </w:rPr>
        <w:t>乙方系在中国正式成立和登记的法人，有依其章程规定、在其企业法人营业执照规定的经营范围内行事的法律能力。</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3.2.2乙方有签署和执行本合同一切条款的民事权利及行为能力。</w:t>
      </w:r>
    </w:p>
    <w:p>
      <w:pPr>
        <w:spacing w:after="156" w:afterLines="50" w:line="400" w:lineRule="exact"/>
        <w:ind w:firstLine="482" w:firstLineChars="200"/>
        <w:jc w:val="left"/>
        <w:rPr>
          <w:rFonts w:asciiTheme="minorEastAsia" w:hAnsiTheme="minorEastAsia"/>
          <w:b/>
          <w:sz w:val="24"/>
        </w:rPr>
      </w:pPr>
    </w:p>
    <w:p>
      <w:pPr>
        <w:spacing w:after="156" w:afterLines="50" w:line="400" w:lineRule="exact"/>
        <w:ind w:firstLine="482" w:firstLineChars="200"/>
        <w:jc w:val="left"/>
        <w:rPr>
          <w:rFonts w:asciiTheme="minorEastAsia" w:hAnsiTheme="minorEastAsia"/>
          <w:b/>
          <w:sz w:val="24"/>
        </w:rPr>
      </w:pPr>
      <w:r>
        <w:rPr>
          <w:rFonts w:hint="eastAsia" w:asciiTheme="minorEastAsia" w:hAnsiTheme="minorEastAsia"/>
          <w:b/>
          <w:sz w:val="24"/>
        </w:rPr>
        <w:t>4 双方权责</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4.1甲方权利:</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4.1.1甲方根据乙方在各阶段提供的分析报告及相关建议，最终确定本项目在不同阶段的营销实施方案、阶段性销售业绩要求（各批次、季度或月度的销售业绩要求）并书面通知乙方，且甲方有权根据需要对营销实施方案、阶段性销售业绩要求（各批次、季度或月度的销售业绩要求）做出调整并书面通知乙方。乙方销售人员按照《项目销售管理制度》的规定开展现场销售。</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4.1.2自本项目公开发售日起，凡进入售楼现场的一般客户，由乙方的销售人员接待洽谈。甲方指定的销售现场负责人具体负责统筹现场客户接待及现场销售秩序。甲方有权对乙方派出的项目小组提出与本项目策划、销售相关的工作要求，并对乙方项目小组的工作表现提出意见。甲方有权要求乙方对项目人员的不当行为进行处理并对不符合甲方要求的人员进行更换。</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4.1.3甲方有权指定专人参与乙方项目组，配合乙方工作。乙方提出的整体销售策略、销控方案建议、价格建议方案、各类促销方案等，须经甲方书面同意后方可实施。甲方根据乙方提供的价格建议方案自行确定本项目最终价目表和营销方式。如因市场变化需要调整销售价格的，甲方应提前书面通知乙方。</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4.1.4甲方有权随时向乙方工作人员了解项目进展情况。</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4.1.5甲方对其与客户签订的《商品房认购书》（下称“认购书”）、《商品房买卖合同》及其补充协议（下称“买卖合同”）</w:t>
      </w:r>
      <w:bookmarkStart w:id="2" w:name="_Hlk82003382"/>
      <w:r>
        <w:rPr>
          <w:rFonts w:hint="eastAsia" w:asciiTheme="minorEastAsia" w:hAnsiTheme="minorEastAsia"/>
          <w:sz w:val="24"/>
        </w:rPr>
        <w:t>等所有相关法律文件</w:t>
      </w:r>
      <w:bookmarkEnd w:id="2"/>
      <w:r>
        <w:rPr>
          <w:rFonts w:hint="eastAsia" w:asciiTheme="minorEastAsia" w:hAnsiTheme="minorEastAsia"/>
          <w:sz w:val="24"/>
        </w:rPr>
        <w:t>的起草、变更、终止等享有决定权。</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 xml:space="preserve">4.1.6甲方有权对客户给予折扣优惠，甲方享有对违约客户交纳的相应款项的没收权及退还权。 </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4.1.7甲方有权对乙方的服务质量进行监督和提出意见。</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4.1.8本合同项下乙方完成的、以任何载体所体现的工作报告、图表的知识产权均归属于甲方。</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4.1.9 甲方有权对乙方在销售代理期内制定现场管理制度，包括但不限于：</w:t>
      </w:r>
      <w:bookmarkStart w:id="3" w:name="_Hlk80897076"/>
      <w:r>
        <w:rPr>
          <w:rFonts w:hint="eastAsia" w:asciiTheme="minorEastAsia" w:hAnsiTheme="minorEastAsia"/>
          <w:sz w:val="24"/>
        </w:rPr>
        <w:t>《奖惩制度》、《工作汇报制度》、《会议制度》、《考核制度》、《客户管理办法》</w:t>
      </w:r>
      <w:bookmarkEnd w:id="3"/>
      <w:r>
        <w:rPr>
          <w:rFonts w:hint="eastAsia" w:asciiTheme="minorEastAsia" w:hAnsiTheme="minorEastAsia"/>
          <w:sz w:val="24"/>
        </w:rPr>
        <w:t>等。</w:t>
      </w:r>
    </w:p>
    <w:p>
      <w:pPr>
        <w:spacing w:line="500" w:lineRule="exact"/>
        <w:ind w:firstLine="424" w:firstLineChars="177"/>
        <w:jc w:val="left"/>
        <w:rPr>
          <w:rFonts w:asciiTheme="minorEastAsia" w:hAnsiTheme="minorEastAsia"/>
          <w:sz w:val="24"/>
          <w:szCs w:val="24"/>
        </w:rPr>
      </w:pPr>
      <w:r>
        <w:rPr>
          <w:rFonts w:hint="eastAsia" w:asciiTheme="minorEastAsia" w:hAnsiTheme="minorEastAsia"/>
          <w:sz w:val="24"/>
          <w:szCs w:val="24"/>
        </w:rPr>
        <w:t>4.1.10销售代理期限内，乙方同意甲方有权在发布本项目相关广告（包括但不限于宣传资料、楼书、户外广告、媒体广告、售楼处围板及软文等）时使用乙方及/或其他第三方已授权乙方使用的商标、名称等相关资料。</w:t>
      </w:r>
    </w:p>
    <w:p>
      <w:pPr>
        <w:spacing w:line="500" w:lineRule="exact"/>
        <w:ind w:firstLine="424" w:firstLineChars="177"/>
        <w:jc w:val="left"/>
        <w:rPr>
          <w:rFonts w:asciiTheme="minorEastAsia" w:hAnsiTheme="minorEastAsia"/>
          <w:sz w:val="24"/>
          <w:szCs w:val="24"/>
        </w:rPr>
      </w:pPr>
      <w:r>
        <w:rPr>
          <w:rFonts w:hint="eastAsia" w:asciiTheme="minorEastAsia" w:hAnsiTheme="minorEastAsia"/>
          <w:sz w:val="24"/>
          <w:szCs w:val="24"/>
        </w:rPr>
        <w:t>4.1.11销售代理期限内，甲方有权单方面提出终止合同，无需提供理由亦无需就此承担任何赔偿责任，但应至少提前30天书面通知乙方。双方应按本合同约定对已符合付款条件的单位结算销售代理费用。</w:t>
      </w:r>
    </w:p>
    <w:p>
      <w:pPr>
        <w:spacing w:after="156" w:afterLines="50" w:line="400" w:lineRule="exact"/>
        <w:ind w:firstLine="480" w:firstLineChars="200"/>
        <w:jc w:val="left"/>
        <w:rPr>
          <w:rFonts w:asciiTheme="minorEastAsia" w:hAnsiTheme="minorEastAsia"/>
          <w:sz w:val="24"/>
        </w:rPr>
      </w:pP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w:t>
      </w:r>
      <w:r>
        <w:rPr>
          <w:rFonts w:asciiTheme="minorEastAsia" w:hAnsiTheme="minorEastAsia"/>
          <w:sz w:val="24"/>
        </w:rPr>
        <w:t>.</w:t>
      </w:r>
      <w:r>
        <w:rPr>
          <w:rFonts w:hint="eastAsia" w:asciiTheme="minorEastAsia" w:hAnsiTheme="minorEastAsia"/>
          <w:sz w:val="24"/>
        </w:rPr>
        <w:t>2甲方义务：</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w:t>
      </w:r>
      <w:r>
        <w:rPr>
          <w:rFonts w:asciiTheme="minorEastAsia" w:hAnsiTheme="minorEastAsia"/>
          <w:sz w:val="24"/>
        </w:rPr>
        <w:t>.</w:t>
      </w:r>
      <w:r>
        <w:rPr>
          <w:rFonts w:hint="eastAsia" w:asciiTheme="minorEastAsia" w:hAnsiTheme="minorEastAsia"/>
          <w:sz w:val="24"/>
        </w:rPr>
        <w:t>2</w:t>
      </w:r>
      <w:r>
        <w:rPr>
          <w:rFonts w:asciiTheme="minorEastAsia" w:hAnsiTheme="minorEastAsia"/>
          <w:sz w:val="24"/>
        </w:rPr>
        <w:t>.1</w:t>
      </w:r>
      <w:r>
        <w:rPr>
          <w:rFonts w:hint="eastAsia" w:asciiTheme="minorEastAsia" w:hAnsiTheme="minorEastAsia"/>
          <w:sz w:val="24"/>
        </w:rPr>
        <w:t>甲方于本合同生效之日起10日内向乙方提供其营业执照副本和房地产开发资质证书的复印件（上述文件甲方均需加盖公章），并保证其真实有效。</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4.2.2本合同生效后，甲方应根据乙方服务的进度安排，向乙方提供本项目策划和销售代理所需要的有关规划设计图纸、数据及本项目公开销售所需的各项文件资料复印件，包括但不限于：《土地使用权出让合同书》及补充协议书、《国有土地使用权证书》、《房地产预售许可证》、《建设用地规划许可证》、《建设工程规划许可证》和《建筑工程施工许可证》，以确保本项目策划和销售代理工作的顺利开展。甲方保证上述文件、数据真实、合法，否则由此产生的法律责任由甲方承担。若本项目甲方需提交的相关文件资料分批（期）取得，则甲方应分别提交给乙方。</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4.2.3甲方在本项目营销各阶段与广告公司、制作公司、装修公司及媒体等签订合同，承担有关策划、宣传推广、广告、售楼资料及售楼处的电话初装费、水电费、固定电话通讯费、网络费等费用。根据甲乙双方共同确认的方案建议委托上述相关单位制作物业模型、透视图、售楼书、售楼处、样板房等销售物料供乙方在售楼时使用。根据实际需要，为客户提供看楼的交通工具。</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4.2.4甲方须按时向乙方支付本合同约定的销售代理服务费。</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4.2.5</w:t>
      </w:r>
      <w:r>
        <w:rPr>
          <w:rFonts w:hint="eastAsia" w:asciiTheme="minorEastAsia" w:hAnsiTheme="minorEastAsia"/>
          <w:sz w:val="24"/>
        </w:rPr>
        <w:t>因买卖合同、房屋质量、房屋产权抵押、房屋交付，或因销售之物业本身的权属或资格瑕疵等引起的争议或纠纷，由甲方负责处理和承担责任，乙方应给予积极配合。</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w:t>
      </w:r>
      <w:r>
        <w:rPr>
          <w:rFonts w:asciiTheme="minorEastAsia" w:hAnsiTheme="minorEastAsia"/>
          <w:sz w:val="24"/>
        </w:rPr>
        <w:t>.</w:t>
      </w:r>
      <w:r>
        <w:rPr>
          <w:rFonts w:hint="eastAsia" w:asciiTheme="minorEastAsia" w:hAnsiTheme="minorEastAsia"/>
          <w:sz w:val="24"/>
        </w:rPr>
        <w:t>2</w:t>
      </w:r>
      <w:r>
        <w:rPr>
          <w:rFonts w:asciiTheme="minorEastAsia" w:hAnsiTheme="minorEastAsia"/>
          <w:sz w:val="24"/>
        </w:rPr>
        <w:t>.</w:t>
      </w:r>
      <w:r>
        <w:rPr>
          <w:rFonts w:hint="eastAsia" w:asciiTheme="minorEastAsia" w:hAnsiTheme="minorEastAsia"/>
          <w:sz w:val="24"/>
        </w:rPr>
        <w:t>6若甲方对乙方表现优秀的项目组全体或单个乙方员工给予销售代理服务费之外的报酬（无论以何种形式或名义），均应当先行支付给乙方，再由乙方通过其内部薪酬管理体系统一发放，乙方仍需提供足额合法有效的发票。</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4.2.7甲方负责收取客户诚意金、定金、购房款（首期款、银行贷款）等一切购房款项，甲方与客户直接签订买卖合同，乙方协助办理相关的购房手续。</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4.2.8 如甲方需将本项目物业出售给指定客户，乙方应配合执行。</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4.3乙方工作职责</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4.3.1 </w:t>
      </w:r>
      <w:r>
        <w:rPr>
          <w:rFonts w:hint="eastAsia" w:asciiTheme="minorEastAsia" w:hAnsiTheme="minorEastAsia"/>
          <w:sz w:val="24"/>
        </w:rPr>
        <w:t>本合同签订后，乙方保证核心成员（项目总监</w:t>
      </w:r>
      <w:r>
        <w:rPr>
          <w:rFonts w:asciiTheme="minorEastAsia" w:hAnsiTheme="minorEastAsia"/>
          <w:sz w:val="24"/>
        </w:rPr>
        <w:t>1名，销售经理1名，</w:t>
      </w:r>
      <w:r>
        <w:rPr>
          <w:rFonts w:hint="eastAsia" w:asciiTheme="minorEastAsia" w:hAnsiTheme="minorEastAsia"/>
          <w:sz w:val="24"/>
        </w:rPr>
        <w:t>销售组长</w:t>
      </w:r>
      <w:r>
        <w:rPr>
          <w:rFonts w:asciiTheme="minorEastAsia" w:hAnsiTheme="minorEastAsia"/>
          <w:sz w:val="24"/>
          <w:highlight w:val="none"/>
        </w:rPr>
        <w:t>1</w:t>
      </w:r>
      <w:r>
        <w:rPr>
          <w:rFonts w:hint="eastAsia" w:asciiTheme="minorEastAsia" w:hAnsiTheme="minorEastAsia"/>
          <w:sz w:val="24"/>
        </w:rPr>
        <w:t>名，熟悉</w:t>
      </w:r>
      <w:r>
        <w:rPr>
          <w:rFonts w:hint="eastAsia" w:asciiTheme="minorEastAsia" w:hAnsiTheme="minorEastAsia"/>
          <w:sz w:val="24"/>
          <w:highlight w:val="none"/>
        </w:rPr>
        <w:t>黄埔</w:t>
      </w:r>
      <w:r>
        <w:rPr>
          <w:rFonts w:hint="eastAsia" w:asciiTheme="minorEastAsia" w:hAnsiTheme="minorEastAsia"/>
          <w:sz w:val="24"/>
        </w:rPr>
        <w:t>市场的</w:t>
      </w:r>
      <w:r>
        <w:rPr>
          <w:rFonts w:hint="eastAsia" w:asciiTheme="minorEastAsia" w:hAnsiTheme="minorEastAsia"/>
          <w:sz w:val="24"/>
          <w:highlight w:val="none"/>
        </w:rPr>
        <w:t>策划经理</w:t>
      </w:r>
      <w:r>
        <w:rPr>
          <w:rFonts w:asciiTheme="minorEastAsia" w:hAnsiTheme="minorEastAsia"/>
          <w:sz w:val="24"/>
        </w:rPr>
        <w:t>1名、</w:t>
      </w:r>
      <w:r>
        <w:rPr>
          <w:rFonts w:hint="eastAsia" w:asciiTheme="minorEastAsia" w:hAnsiTheme="minorEastAsia"/>
          <w:sz w:val="24"/>
        </w:rPr>
        <w:t>辅策</w:t>
      </w:r>
      <w:r>
        <w:rPr>
          <w:rFonts w:asciiTheme="minorEastAsia" w:hAnsiTheme="minorEastAsia"/>
          <w:sz w:val="24"/>
        </w:rPr>
        <w:t>2名，其它辅助人员由甲方确定）的人员数量配备齐整并保持稳定。其中销售经理和策划经理不能参与其它项目，</w:t>
      </w:r>
      <w:r>
        <w:rPr>
          <w:rFonts w:hint="eastAsia" w:asciiTheme="minorEastAsia" w:hAnsiTheme="minorEastAsia"/>
          <w:sz w:val="24"/>
        </w:rPr>
        <w:t>并驻本项目销售现场管理，</w:t>
      </w:r>
      <w:r>
        <w:rPr>
          <w:rFonts w:asciiTheme="minorEastAsia" w:hAnsiTheme="minorEastAsia"/>
          <w:sz w:val="24"/>
        </w:rPr>
        <w:t>保证有足够的时间和精力管理</w:t>
      </w:r>
      <w:r>
        <w:rPr>
          <w:rFonts w:hint="eastAsia" w:asciiTheme="minorEastAsia" w:hAnsiTheme="minorEastAsia"/>
          <w:sz w:val="24"/>
        </w:rPr>
        <w:t>本</w:t>
      </w:r>
      <w:r>
        <w:rPr>
          <w:rFonts w:asciiTheme="minorEastAsia" w:hAnsiTheme="minorEastAsia"/>
          <w:sz w:val="24"/>
        </w:rPr>
        <w:t>项目，并必须保证每星期至少5天在现场，周</w:t>
      </w:r>
      <w:r>
        <w:rPr>
          <w:rFonts w:hint="eastAsia" w:asciiTheme="minorEastAsia" w:hAnsiTheme="minorEastAsia"/>
          <w:sz w:val="24"/>
        </w:rPr>
        <w:t>六日必须在本项目现场。在项目销售过程中，负责推广计划和营销活动的落实和执行，对推广中的广告设计、活动创意等策划事务提报建议并协助甲方进行过程质量监督和管理，具体详见附件</w:t>
      </w:r>
      <w:r>
        <w:rPr>
          <w:rFonts w:asciiTheme="minorEastAsia" w:hAnsiTheme="minorEastAsia"/>
          <w:sz w:val="24"/>
        </w:rPr>
        <w:t>2《工作组成员名单》及附件3《工作组成员岗位要求》。乙方工作组成员经甲方确认后，未经甲方书面同意，不能随意撤换工作组成员（乙方工作组成员离职、长期休病假、销售末</w:t>
      </w:r>
      <w:r>
        <w:rPr>
          <w:rFonts w:hint="eastAsia" w:asciiTheme="minorEastAsia" w:hAnsiTheme="minorEastAsia"/>
          <w:sz w:val="24"/>
        </w:rPr>
        <w:t>位</w:t>
      </w:r>
      <w:r>
        <w:rPr>
          <w:rFonts w:asciiTheme="minorEastAsia" w:hAnsiTheme="minorEastAsia"/>
          <w:sz w:val="24"/>
        </w:rPr>
        <w:t>淘汰的除外，但乙方应另行提供同等条件的人员给甲方选择</w:t>
      </w:r>
      <w:r>
        <w:rPr>
          <w:rFonts w:hint="eastAsia" w:asciiTheme="minorEastAsia" w:hAnsiTheme="minorEastAsia"/>
          <w:sz w:val="24"/>
        </w:rPr>
        <w:t>，直至甲方满意为止）。如甲方不满意工作组成员，有权要求乙方撤换，</w:t>
      </w:r>
      <w:r>
        <w:rPr>
          <w:rFonts w:asciiTheme="minorEastAsia" w:hAnsiTheme="minorEastAsia"/>
          <w:sz w:val="24"/>
        </w:rPr>
        <w:t>乙方应另行提供同等条件的人员给甲方选择</w:t>
      </w:r>
      <w:r>
        <w:rPr>
          <w:rFonts w:hint="eastAsia" w:asciiTheme="minorEastAsia" w:hAnsiTheme="minorEastAsia"/>
          <w:sz w:val="24"/>
        </w:rPr>
        <w:t>，直至甲方满意为止。</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4.3.2   策划工作包括：</w:t>
      </w:r>
    </w:p>
    <w:p>
      <w:pPr>
        <w:spacing w:after="156" w:afterLines="50" w:line="400" w:lineRule="exact"/>
        <w:ind w:firstLine="480" w:firstLineChars="200"/>
        <w:jc w:val="left"/>
        <w:rPr>
          <w:rFonts w:asciiTheme="minorEastAsia" w:hAnsiTheme="minorEastAsia"/>
          <w:color w:val="A6A6A6" w:themeColor="background1" w:themeShade="A6"/>
          <w:sz w:val="24"/>
        </w:rPr>
      </w:pPr>
      <w:r>
        <w:rPr>
          <w:rFonts w:asciiTheme="minorEastAsia" w:hAnsiTheme="minorEastAsia"/>
          <w:sz w:val="24"/>
        </w:rPr>
        <w:t>4.3.2.1</w:t>
      </w:r>
      <w:r>
        <w:rPr>
          <w:rFonts w:hint="eastAsia" w:asciiTheme="minorEastAsia" w:hAnsiTheme="minorEastAsia"/>
          <w:sz w:val="24"/>
        </w:rPr>
        <w:t>乙方负责组建策划团队，并按甲方要求派驻策划团队至项目现场或甲方指定地点办公，团队成员应具备相关岗位的工作能力和经验。在销售过程中，乙方负责经甲方认可的推广计划和营销活动的落实和执行，对推广中的广告设计、活动创意等策划事务提报建议。当甲方认为乙方策划团队成员不能适应项目营销工作需要时，乙方应于七个工作日内按照甲方的要求及时调整。</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4.3.2.2 </w:t>
      </w:r>
      <w:r>
        <w:rPr>
          <w:rFonts w:hint="eastAsia" w:asciiTheme="minorEastAsia" w:hAnsiTheme="minorEastAsia"/>
          <w:sz w:val="24"/>
        </w:rPr>
        <w:t>在本项目销售过程中，乙方应提供项目的整体营销推广策略、销售节点安排、价格策略、开盘方案、推广活动及项目包装方案等重要策略建议，经甲方书面同意后由乙方负责执行和实施，并及时向甲方汇报。甲方根据乙方提供的价格方案建议自行确定本项目最终价目表和营销方式。</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4.3.2.3 </w:t>
      </w:r>
      <w:r>
        <w:rPr>
          <w:rFonts w:hint="eastAsia" w:asciiTheme="minorEastAsia" w:hAnsiTheme="minorEastAsia"/>
          <w:sz w:val="24"/>
        </w:rPr>
        <w:t>乙方负责从策划和销售角度为甲方提供专业意见和建议：可根据甲方需要制定阶段性的推广和销售计划、促销活动计划、推广活动计划等营销方案，并对广告和推广的效果进行监测和反馈，根据反馈实际情况及时对营销推广策略进行调整和提报；以上计划的提报周期为：年度、半年、季度、月度。</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4.3.2.4在本项目销售过程中，乙方负责日常定期的市场调研、竞争产品跟踪研究和客户访谈，根据市场反应、销售状况及客户分析，每月提供阶段性的销售计划、促销活动计划、推广活动计划等营销方案的建议，但最终方案以甲方书面确认的方案为准，由乙方执行和实施。</w:t>
      </w:r>
    </w:p>
    <w:p>
      <w:pPr>
        <w:spacing w:line="500" w:lineRule="exact"/>
        <w:ind w:firstLine="424" w:firstLineChars="177"/>
        <w:jc w:val="left"/>
        <w:rPr>
          <w:rFonts w:asciiTheme="minorEastAsia" w:hAnsiTheme="minorEastAsia"/>
          <w:sz w:val="24"/>
          <w:szCs w:val="24"/>
        </w:rPr>
      </w:pPr>
      <w:r>
        <w:rPr>
          <w:rFonts w:asciiTheme="minorEastAsia" w:hAnsiTheme="minorEastAsia"/>
          <w:sz w:val="24"/>
          <w:szCs w:val="24"/>
        </w:rPr>
        <w:t>4.3.2.5甲方负责管理甲方书面确认的房号</w:t>
      </w:r>
      <w:r>
        <w:rPr>
          <w:rFonts w:hint="eastAsia" w:asciiTheme="minorEastAsia" w:hAnsiTheme="minorEastAsia"/>
          <w:sz w:val="24"/>
          <w:szCs w:val="24"/>
        </w:rPr>
        <w:t>销控表，乙方组织好楼盘的销售工作并如实记录销售情况；乙方负责设计本项目的价目表、付款方式，协助甲方确定装修标准展览版、宣传单张、楼书、服务管理手册等所有的宣传资料；负责协助甲方确定各媒体广告（包括新闻通稿</w:t>
      </w:r>
      <w:r>
        <w:rPr>
          <w:rFonts w:asciiTheme="minorEastAsia" w:hAnsiTheme="minorEastAsia"/>
          <w:sz w:val="24"/>
          <w:szCs w:val="24"/>
        </w:rPr>
        <w:t>）</w:t>
      </w:r>
      <w:r>
        <w:rPr>
          <w:rFonts w:hint="eastAsia" w:asciiTheme="minorEastAsia" w:hAnsiTheme="minorEastAsia"/>
          <w:sz w:val="24"/>
          <w:szCs w:val="24"/>
        </w:rPr>
        <w:t>的创意和文案，上述所有的宣传资料、广告文案和销售资料在使用前必须经甲方认可后方可实施。</w:t>
      </w:r>
    </w:p>
    <w:p>
      <w:pPr>
        <w:spacing w:line="500" w:lineRule="exact"/>
        <w:ind w:firstLine="424" w:firstLineChars="177"/>
        <w:jc w:val="left"/>
        <w:rPr>
          <w:rFonts w:asciiTheme="minorEastAsia" w:hAnsiTheme="minorEastAsia"/>
          <w:sz w:val="24"/>
          <w:szCs w:val="24"/>
        </w:rPr>
      </w:pPr>
      <w:r>
        <w:rPr>
          <w:rFonts w:asciiTheme="minorEastAsia" w:hAnsiTheme="minorEastAsia"/>
          <w:sz w:val="24"/>
          <w:szCs w:val="24"/>
        </w:rPr>
        <w:t>4.3.2.6乙方提供、设计、使用、策划或组织的广告创意、制作物、图片、文档、方案、成果或活动形式，以及乙方的其它履约行为等不得侵害第三方知识产权等权利。否则由此产生的纠纷由乙方自行解决并承担全部法律责任，与甲方无关。乙方违反该约定导致甲方损失或被追究责任的，乙方应赔偿甲方因此遭受的损失并在全国发行的报纸上刊登的澄清声明。甲方对上述图片、文档、方案、成果或活动形式的确认并不减轻或免除乙方的上述义务与责任。</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4.3.3</w:t>
      </w:r>
      <w:r>
        <w:rPr>
          <w:rFonts w:asciiTheme="minorEastAsia" w:hAnsiTheme="minorEastAsia"/>
          <w:sz w:val="24"/>
        </w:rPr>
        <w:t xml:space="preserve">  </w:t>
      </w:r>
      <w:r>
        <w:rPr>
          <w:rFonts w:hint="eastAsia" w:asciiTheme="minorEastAsia" w:hAnsiTheme="minorEastAsia"/>
          <w:sz w:val="24"/>
        </w:rPr>
        <w:t>销售代理工作包括：</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4.3.3.1</w:t>
      </w:r>
      <w:r>
        <w:rPr>
          <w:rFonts w:hint="eastAsia" w:asciiTheme="minorEastAsia" w:hAnsiTheme="minorEastAsia"/>
          <w:sz w:val="24"/>
        </w:rPr>
        <w:t>乙方负责组建销售团队，并进行岗位培训，按甲方要求派驻销售团队至项目现场或甲方指定地点办公，应确保团队成员具备相关岗位的工作能力和专业能力。当甲方认为乙方销售团队成员不能适应项目营销工作需求时，乙方应于七个工作日内按照甲方的要求及时调整。</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乙方应在正式进场销售前</w:t>
      </w:r>
      <w:r>
        <w:rPr>
          <w:rFonts w:asciiTheme="minorEastAsia" w:hAnsiTheme="minorEastAsia"/>
          <w:sz w:val="24"/>
        </w:rPr>
        <w:t>完成项目销售的各项筹备工作，包括项目的销售管理制度、销售团队的组建、完善公开销售期各种销售情况应对预案等，并获得甲方的确认</w:t>
      </w:r>
      <w:r>
        <w:rPr>
          <w:rFonts w:hint="eastAsia" w:asciiTheme="minorEastAsia" w:hAnsiTheme="minorEastAsia"/>
          <w:sz w:val="24"/>
        </w:rPr>
        <w:t>后实施。</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4.3.3.2</w:t>
      </w:r>
      <w:r>
        <w:rPr>
          <w:rFonts w:hint="eastAsia" w:asciiTheme="minorEastAsia" w:hAnsiTheme="minorEastAsia"/>
          <w:sz w:val="24"/>
        </w:rPr>
        <w:t>乙方组建具有与本项目同类物业销售经验的优秀策划销售人员作为本项目策划销售团队，统筹本项目营销工作，定期举行销售例会。乙方销售经理和销售团队常驻销售现场，专门负责本项目销售工作；乙方营销（销售）总监定期巡盘检查，并应根据销售各阶段的实际需要调配资源，保证每日不低于</w:t>
      </w:r>
      <w:r>
        <w:rPr>
          <w:rFonts w:asciiTheme="minorEastAsia" w:hAnsiTheme="minorEastAsia"/>
          <w:color w:val="auto"/>
          <w:sz w:val="24"/>
          <w:highlight w:val="none"/>
        </w:rPr>
        <w:t>3</w:t>
      </w:r>
      <w:r>
        <w:rPr>
          <w:rFonts w:asciiTheme="minorEastAsia" w:hAnsiTheme="minorEastAsia"/>
          <w:sz w:val="24"/>
        </w:rPr>
        <w:t>位、节假日</w:t>
      </w:r>
      <w:r>
        <w:rPr>
          <w:rFonts w:hint="eastAsia" w:asciiTheme="minorEastAsia" w:hAnsiTheme="minorEastAsia"/>
          <w:sz w:val="24"/>
        </w:rPr>
        <w:t>（包括周六日）不低于</w:t>
      </w:r>
      <w:r>
        <w:rPr>
          <w:rFonts w:asciiTheme="minorEastAsia" w:hAnsiTheme="minorEastAsia"/>
          <w:color w:val="auto"/>
          <w:sz w:val="24"/>
          <w:highlight w:val="none"/>
        </w:rPr>
        <w:t>5</w:t>
      </w:r>
      <w:r>
        <w:rPr>
          <w:rFonts w:asciiTheme="minorEastAsia" w:hAnsiTheme="minorEastAsia"/>
          <w:sz w:val="24"/>
        </w:rPr>
        <w:t>位的销售</w:t>
      </w:r>
      <w:r>
        <w:rPr>
          <w:rFonts w:hint="eastAsia" w:asciiTheme="minorEastAsia" w:hAnsiTheme="minorEastAsia"/>
          <w:sz w:val="24"/>
        </w:rPr>
        <w:t>代表（含销售组长，其中保证配备</w:t>
      </w:r>
      <w:r>
        <w:rPr>
          <w:rFonts w:asciiTheme="minorEastAsia" w:hAnsiTheme="minorEastAsia"/>
          <w:color w:val="auto"/>
          <w:sz w:val="24"/>
          <w:highlight w:val="none"/>
        </w:rPr>
        <w:t>2</w:t>
      </w:r>
      <w:r>
        <w:rPr>
          <w:rFonts w:hint="eastAsia" w:asciiTheme="minorEastAsia" w:hAnsiTheme="minorEastAsia"/>
          <w:sz w:val="24"/>
        </w:rPr>
        <w:t>位拥有广州销售经验的高级销售代表）</w:t>
      </w:r>
      <w:r>
        <w:rPr>
          <w:rFonts w:asciiTheme="minorEastAsia" w:hAnsiTheme="minorEastAsia"/>
          <w:sz w:val="24"/>
        </w:rPr>
        <w:t>在售楼现场从事销售工作</w:t>
      </w:r>
      <w:r>
        <w:rPr>
          <w:rFonts w:hint="eastAsia" w:asciiTheme="minorEastAsia" w:hAnsiTheme="minorEastAsia"/>
          <w:sz w:val="24"/>
        </w:rPr>
        <w:t>，尾货销售期间乙方若要调整人员数量的，须经甲方书面同意；临时外展处，每处每日不低于</w:t>
      </w:r>
      <w:r>
        <w:rPr>
          <w:rFonts w:asciiTheme="minorEastAsia" w:hAnsiTheme="minorEastAsia"/>
          <w:sz w:val="24"/>
        </w:rPr>
        <w:t>2位销售人员</w:t>
      </w:r>
      <w:r>
        <w:rPr>
          <w:rFonts w:hint="eastAsia" w:asciiTheme="minorEastAsia" w:hAnsiTheme="minorEastAsia"/>
          <w:sz w:val="24"/>
        </w:rPr>
        <w:t>，并</w:t>
      </w:r>
      <w:r>
        <w:rPr>
          <w:rFonts w:asciiTheme="minorEastAsia" w:hAnsiTheme="minorEastAsia"/>
          <w:sz w:val="24"/>
        </w:rPr>
        <w:t>需</w:t>
      </w:r>
      <w:r>
        <w:rPr>
          <w:rFonts w:hint="eastAsia" w:asciiTheme="minorEastAsia" w:hAnsiTheme="minorEastAsia"/>
          <w:sz w:val="24"/>
        </w:rPr>
        <w:t>保证销售现场工作的顺利进行。</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4.3.3.3</w:t>
      </w:r>
      <w:r>
        <w:rPr>
          <w:rFonts w:hint="eastAsia" w:asciiTheme="minorEastAsia" w:hAnsiTheme="minorEastAsia"/>
          <w:sz w:val="24"/>
        </w:rPr>
        <w:t>乙方应对每一个专项销售人员进行全面的售前培训，保证每一位销售人员具有满足本项目销售要求的专业素质和职业道德及操守，并具有相应的从业资格和能力，及符合行业标准和甲方要求的专业素质，并具备法律规定的资质。</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4.3.3.4</w:t>
      </w:r>
      <w:r>
        <w:rPr>
          <w:rFonts w:hint="eastAsia" w:asciiTheme="minorEastAsia" w:hAnsiTheme="minorEastAsia"/>
          <w:sz w:val="24"/>
        </w:rPr>
        <w:t>在不违反国家及地方法律、法规、政策的情况下，乙方对本项目进行推广并对客户进行调查统计。</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4.3.3.5乙方负责接洽客户、市调人员以及交流参观人员。乙方销售人员应全程跟踪服务客户，包括但不限于客户接待、回访、签约等服务，期间客户的任何问题，均由为其服务的销售人员负责沟通及解决。乙方销售人员应注重</w:t>
      </w:r>
      <w:r>
        <w:rPr>
          <w:rFonts w:hint="eastAsia" w:asciiTheme="minorEastAsia" w:hAnsiTheme="minorEastAsia"/>
          <w:sz w:val="24"/>
        </w:rPr>
        <w:t>职</w:t>
      </w:r>
      <w:r>
        <w:rPr>
          <w:rFonts w:asciiTheme="minorEastAsia" w:hAnsiTheme="minorEastAsia"/>
          <w:sz w:val="24"/>
        </w:rPr>
        <w:t>业道德、个人形象，并自觉维护甲方的市场声誉，文明销售、礼貌待客；乙方及其销售人员不得随意向客户做出承诺并且不得参与有损害甲方利益和声誉的活动。</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4.3.3.6乙方负责收集来电来访客户信息，建立来电来访客户档案，进行填表归档，并每月完成来访及客户分析并提交甲方，信息必须真实、客观及完整。本项目开盘之前或之后的所有来访及来电客户信息归甲方所有，乙方销售经理定期导出本项目所有来访及来电客户信息数据，书面递交甲方，并指派乙方人员按甲方的要求将相关信息录入甲方的售楼系统。</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4.3.3.7乙方协助甲方与客户签订认购书</w:t>
      </w:r>
      <w:r>
        <w:rPr>
          <w:rFonts w:hint="eastAsia" w:asciiTheme="minorEastAsia" w:hAnsiTheme="minorEastAsia"/>
          <w:sz w:val="24"/>
        </w:rPr>
        <w:t>，认购行为按照甲方事先制订的认购流程严格执行。</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4.3.3.8催促客户在认购书约定的期限内与甲方签订买卖合同等相关文件，督促客户交纳购房款及相关税费、物业维修资金等费用，协助收齐客户银行按揭资料并在签约时办理贷款相关手续。签约行为按照甲方事先制订的签约流程执行。若在购房者签订买卖合同前销售代理期已届满，</w:t>
      </w:r>
      <w:r>
        <w:rPr>
          <w:rFonts w:hint="eastAsia" w:asciiTheme="minorEastAsia" w:hAnsiTheme="minorEastAsia"/>
          <w:sz w:val="24"/>
        </w:rPr>
        <w:t>乙方仍有义务向客户（经甲方书面同意特许延迟缴纳房款或签署买卖合同的客户除外）催收房款并协助客户与甲方签订买卖合同，除甲方按本合同约定支付代理费外，乙方不再收取其他费用。</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4.3.3.9本项目销售代理期内定期提交销售报告及下阶段销售对策分析，严格做好客户资料的保密工作，协助督促回笼销售资金，杜绝内部的</w:t>
      </w:r>
      <w:r>
        <w:rPr>
          <w:rFonts w:hint="eastAsia" w:asciiTheme="minorEastAsia" w:hAnsiTheme="minorEastAsia"/>
          <w:sz w:val="24"/>
        </w:rPr>
        <w:t>各类炒筹、炒楼等违反合同约定的行为，配合做好楼盘销售各项的后期服务工作（如房屋交付）。</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4.3.3.10</w:t>
      </w:r>
      <w:r>
        <w:rPr>
          <w:rFonts w:hint="eastAsia" w:asciiTheme="minorEastAsia" w:hAnsiTheme="minorEastAsia"/>
          <w:sz w:val="24"/>
        </w:rPr>
        <w:t>乙方有权向甲方单独进行工作汇报，乙方任何工作汇报均谢绝以下第三方在场：其它房地产销售代理公司、房地产顾问公司、房地产策划公司等其它同行业、同性质公司。未经乙方书面同意，甲方不得将乙方所提交使用于本项目的策划顾问工作报告、成果及销售报表、分析报告等文件、资料（其载体包括但不限于：纸张、相片、软件、影片、电子文档等）公开发表或提供给本项目合作单位（如设计公司、广告公司、前期物业服务公司等）以外的任何第三方。</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w:t>
      </w:r>
      <w:r>
        <w:rPr>
          <w:rFonts w:asciiTheme="minorEastAsia" w:hAnsiTheme="minorEastAsia"/>
          <w:sz w:val="24"/>
        </w:rPr>
        <w:t>.</w:t>
      </w:r>
      <w:r>
        <w:rPr>
          <w:rFonts w:hint="eastAsia" w:asciiTheme="minorEastAsia" w:hAnsiTheme="minorEastAsia"/>
          <w:sz w:val="24"/>
        </w:rPr>
        <w:t>4乙方义务：</w:t>
      </w:r>
      <w:r>
        <w:rPr>
          <w:rFonts w:hint="eastAsia" w:asciiTheme="minorEastAsia" w:hAnsiTheme="minorEastAsia"/>
          <w:sz w:val="24"/>
        </w:rPr>
        <w:fldChar w:fldCharType="begin"/>
      </w:r>
      <w:r>
        <w:rPr>
          <w:rFonts w:hint="eastAsia" w:asciiTheme="minorEastAsia" w:hAnsiTheme="minorEastAsia"/>
          <w:sz w:val="24"/>
        </w:rPr>
        <w:instrText xml:space="preserve"> DISPLAYNFC \l 0 </w:instrText>
      </w:r>
      <w:r>
        <w:rPr>
          <w:rFonts w:hint="eastAsia" w:asciiTheme="minorEastAsia" w:hAnsiTheme="minorEastAsia"/>
          <w:sz w:val="24"/>
        </w:rPr>
        <w:fldChar w:fldCharType="end"/>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4.4.1乙方向甲方提供加盖公章的营业执照副本及房地产经纪机构资质证书的复印件，并保证上述文件真实有效。</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4.4.2乙方须按照甲方书面确认的售楼方案进行销售，不得擅自改变计划，任意放盘，不得对甲方提供的买卖合同等其它相关文件、数据进行任何修改。乙方须根据甲方提供的文件、信息进行如实的宣传和销售，售楼过程中如有因乙方对客户的误导、欺骗等行为，造成甲方形象、利益受损，从而引起的法律诉讼或索赔要求时，由乙方负责处理有关的纠纷或诉讼，并承担赔偿责任；如因此导致甲方损失或被追究责任的，乙方应赔偿甲方因此遭受的损失并在全国发行的报纸上刊登的澄清声明。</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4.4.3乙方不得以低于甲方书面认可的价格销售本项目，不得擅自给客户任何形式的承诺或保证，不得擅自给客户任何形式的折扣，不得向客户收取未经甲方书面同意的任何费用，否则，乙方应承担由此产生的责任并足额赔偿由此给甲方造成的损失。</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4.4.4乙方需委派经验丰富并具有相应资历的销售经理负责本项目的销售执行工作，若因工作需要更换，乙方须提前1个月书面通知甲方并经甲方书面同意。当乙方委派的本项目销售经理辞职时，乙方应书面通知甲方并及时安排接替人选，直至甲方满意为止。若乙方委派的销售经理不能胜任本项目的销售工作或产生重大工作失误，甲方有权要求更换销售经理，乙方应立即予以配合及时安排不低于同等资历的接替人选，直至甲方满意为止。</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4.4.5乙方代理销售甲方本项目，应尽职尽责为甲方服务，若乙方未经甲方同意将代理权转让给第三方经纪机构或委托分销，或乙方存在其它根本违约行为的，甲方有权单方面解除本合同，并保留向乙方追索一切损失的权利，未结算的代理费不再支付。</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4.4.6乙方应对甲方提供的所有（包括但不限于双方确认的推广销售）数据保密。未经甲方书面同意，乙方不得将甲方提供的数据提供给任何第三方或用于本合同以外的其他目的。</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4.4.7甲方与乙方的工作人员不存在任何的劳动或劳务关系，乙方自行负责乙方工作人员的工资、佣金、社会保险及相应的福利，并负责本项目销售现场乙方人员的个人销售通讯、办公、标准售楼制服等费用。</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4.4.8在销售过程中，若因乙方工作人员工作故意或失误导致销控不当、重复收取客户定金或认购书及买卖合同中手写文字出错等相关情况产生的不良后果及责任由乙方承担。如乙方销售人员在甲方制定的法律文件中填写的客户所购买房产的房屋信息（包括但不限于地址、房屋面积、计价方式、单价、总价、付款方式、交付期限、交付标准等一切资料数据）发生错误的，由此引起的一切法律责任由乙方承担。</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4.4.9乙方销售手段必须符合相关法律规定,如因乙方违法或违规销售，导致任何的人身或财产损害的，由乙方负责处理并承担法律责任。</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4.4.10乙方履行本合同过程中遭受或造成任何人身或财产损害的，由乙方负责处理并承担法律责任，与甲方无关。</w:t>
      </w:r>
    </w:p>
    <w:p>
      <w:pPr>
        <w:spacing w:after="156" w:afterLines="50" w:line="400" w:lineRule="exact"/>
        <w:ind w:firstLine="480" w:firstLineChars="200"/>
        <w:jc w:val="left"/>
        <w:rPr>
          <w:rFonts w:asciiTheme="minorEastAsia" w:hAnsiTheme="minorEastAsia"/>
          <w:sz w:val="24"/>
          <w:u w:val="single"/>
        </w:rPr>
      </w:pPr>
      <w:r>
        <w:rPr>
          <w:rFonts w:hint="eastAsia" w:asciiTheme="minorEastAsia" w:hAnsiTheme="minorEastAsia"/>
          <w:sz w:val="24"/>
        </w:rPr>
        <w:t>4.4.11如遇突发事件，乙方应在第一时间以包括但不限于电话、书面文字</w:t>
      </w:r>
      <w:r>
        <w:rPr>
          <w:rFonts w:hint="eastAsia" w:asciiTheme="minorEastAsia" w:hAnsiTheme="minorEastAsia"/>
          <w:sz w:val="24"/>
          <w:u w:val="single"/>
        </w:rPr>
        <w:t>、口头通知甲方现场负责人等方式告知甲方</w:t>
      </w:r>
      <w:r>
        <w:rPr>
          <w:rFonts w:hint="eastAsia" w:asciiTheme="minorEastAsia" w:hAnsiTheme="minorEastAsia"/>
          <w:sz w:val="24"/>
          <w:u w:val="single"/>
        </w:rPr>
        <w:t>，若遭遇可能发生人身、财产损害等紧急情况，乙方应立即报警处理并通知甲方</w:t>
      </w:r>
      <w:r>
        <w:rPr>
          <w:rFonts w:hint="eastAsia" w:asciiTheme="minorEastAsia" w:hAnsiTheme="minorEastAsia"/>
          <w:sz w:val="24"/>
          <w:u w:val="single"/>
        </w:rPr>
        <w:t>。</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4.4.12</w:t>
      </w:r>
      <w:r>
        <w:rPr>
          <w:rFonts w:hint="eastAsia" w:asciiTheme="minorEastAsia" w:hAnsiTheme="minorEastAsia"/>
          <w:sz w:val="24"/>
        </w:rPr>
        <w:t>乙方应完成甲方下达的每批次</w:t>
      </w:r>
      <w:r>
        <w:rPr>
          <w:rFonts w:asciiTheme="minorEastAsia" w:hAnsiTheme="minorEastAsia"/>
          <w:sz w:val="24"/>
        </w:rPr>
        <w:t>/每期的销售业绩要求，甲方对乙方业绩要求考核如下：乙方每期/每批次/季度低于甲方确定的该期“销售</w:t>
      </w:r>
      <w:r>
        <w:rPr>
          <w:rFonts w:hint="eastAsia" w:asciiTheme="minorEastAsia" w:hAnsiTheme="minorEastAsia"/>
          <w:sz w:val="24"/>
        </w:rPr>
        <w:t>任务”的，</w:t>
      </w:r>
      <w:r>
        <w:rPr>
          <w:rFonts w:asciiTheme="minorEastAsia" w:hAnsiTheme="minorEastAsia"/>
          <w:sz w:val="24"/>
        </w:rPr>
        <w:t>即认定为</w:t>
      </w:r>
      <w:r>
        <w:rPr>
          <w:rFonts w:hint="eastAsia" w:asciiTheme="minorEastAsia" w:hAnsiTheme="minorEastAsia"/>
          <w:sz w:val="24"/>
        </w:rPr>
        <w:t>当期</w:t>
      </w:r>
      <w:r>
        <w:rPr>
          <w:rFonts w:asciiTheme="minorEastAsia" w:hAnsiTheme="minorEastAsia"/>
          <w:sz w:val="24"/>
        </w:rPr>
        <w:t>考核不通过。</w:t>
      </w:r>
      <w:r>
        <w:rPr>
          <w:rFonts w:hint="eastAsia" w:asciiTheme="minorEastAsia" w:hAnsiTheme="minorEastAsia"/>
          <w:sz w:val="24"/>
        </w:rPr>
        <w:t>各阶段销售业绩要求考核标准根据甲方销售方案作为标准，采取以“可售建筑面积” 为标准进行考核，以甲方书面通知为准。销售代理期内，累计两次考核不通过，</w:t>
      </w:r>
      <w:r>
        <w:rPr>
          <w:rFonts w:asciiTheme="minorEastAsia" w:hAnsiTheme="minorEastAsia"/>
          <w:sz w:val="24"/>
        </w:rPr>
        <w:t>则</w:t>
      </w:r>
      <w:r>
        <w:rPr>
          <w:rFonts w:hint="eastAsia" w:asciiTheme="minorEastAsia" w:hAnsiTheme="minorEastAsia"/>
          <w:sz w:val="24"/>
        </w:rPr>
        <w:t>视为乙方违约，甲方有权单方解除本合同。如客户签署认购书后解除的，则在解除当月月度销售考核中扣减。</w:t>
      </w:r>
    </w:p>
    <w:p>
      <w:pPr>
        <w:spacing w:after="156" w:afterLines="50" w:line="400" w:lineRule="exact"/>
        <w:ind w:firstLine="482" w:firstLineChars="200"/>
        <w:jc w:val="left"/>
        <w:rPr>
          <w:rFonts w:asciiTheme="minorEastAsia" w:hAnsiTheme="minorEastAsia"/>
          <w:b/>
          <w:sz w:val="24"/>
        </w:rPr>
      </w:pPr>
    </w:p>
    <w:p>
      <w:pPr>
        <w:spacing w:after="156" w:afterLines="50" w:line="400" w:lineRule="exact"/>
        <w:ind w:firstLine="482" w:firstLineChars="200"/>
        <w:jc w:val="left"/>
        <w:rPr>
          <w:rFonts w:asciiTheme="minorEastAsia" w:hAnsiTheme="minorEastAsia"/>
          <w:b/>
          <w:sz w:val="24"/>
        </w:rPr>
      </w:pPr>
      <w:r>
        <w:rPr>
          <w:rFonts w:hint="eastAsia" w:asciiTheme="minorEastAsia" w:hAnsiTheme="minorEastAsia"/>
          <w:b/>
          <w:sz w:val="24"/>
        </w:rPr>
        <w:t>5   销售代理服务费</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5.1  销售代理服务费</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5.1.1销售代理服务费（下称“代理费”），指销售代理合同期内甲方根据乙方促成销售的情况，以乙方成功代理销售的单位累计的合同总金额为基数</w:t>
      </w:r>
      <w:r>
        <w:rPr>
          <w:rFonts w:asciiTheme="minorEastAsia" w:hAnsiTheme="minorEastAsia"/>
          <w:sz w:val="24"/>
        </w:rPr>
        <w:t xml:space="preserve">, </w:t>
      </w:r>
      <w:r>
        <w:rPr>
          <w:rFonts w:hint="eastAsia" w:asciiTheme="minorEastAsia" w:hAnsiTheme="minorEastAsia"/>
          <w:sz w:val="24"/>
        </w:rPr>
        <w:t>以代理费率为系数计算的按月向乙方支付的服务费用。该代理费为含税金额，</w:t>
      </w:r>
      <w:bookmarkStart w:id="4" w:name="OLE_LINK1"/>
      <w:r>
        <w:rPr>
          <w:rFonts w:hint="eastAsia" w:asciiTheme="minorEastAsia" w:hAnsiTheme="minorEastAsia"/>
          <w:sz w:val="24"/>
        </w:rPr>
        <w:t>增值税税率为【 】</w:t>
      </w:r>
      <w:r>
        <w:rPr>
          <w:rFonts w:asciiTheme="minorEastAsia" w:hAnsiTheme="minorEastAsia"/>
          <w:sz w:val="24"/>
        </w:rPr>
        <w:t>%</w:t>
      </w:r>
      <w:r>
        <w:rPr>
          <w:rFonts w:hint="eastAsia" w:asciiTheme="minorEastAsia" w:hAnsiTheme="minorEastAsia"/>
          <w:sz w:val="24"/>
        </w:rPr>
        <w:t>，税金根据国家税收政策的适用税率计算，若税率变动将及时调整。</w:t>
      </w:r>
      <w:bookmarkEnd w:id="4"/>
    </w:p>
    <w:p>
      <w:pPr>
        <w:spacing w:after="156" w:afterLines="50" w:line="400" w:lineRule="exact"/>
        <w:ind w:firstLine="424" w:firstLineChars="177"/>
        <w:jc w:val="left"/>
        <w:rPr>
          <w:rFonts w:asciiTheme="minorEastAsia" w:hAnsiTheme="minorEastAsia"/>
          <w:sz w:val="24"/>
        </w:rPr>
      </w:pPr>
      <w:r>
        <w:rPr>
          <w:rFonts w:hint="eastAsia" w:asciiTheme="minorEastAsia" w:hAnsiTheme="minorEastAsia"/>
          <w:sz w:val="24"/>
        </w:rPr>
        <w:t>代理费</w:t>
      </w:r>
      <w:r>
        <w:rPr>
          <w:rFonts w:asciiTheme="minorEastAsia" w:hAnsiTheme="minorEastAsia"/>
          <w:sz w:val="24"/>
        </w:rPr>
        <w:t>=成功代理销售单位累计合同总金额×相应代理费率</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5.1.2 </w:t>
      </w:r>
      <w:r>
        <w:rPr>
          <w:rFonts w:hint="eastAsia" w:asciiTheme="minorEastAsia" w:hAnsiTheme="minorEastAsia"/>
          <w:sz w:val="24"/>
        </w:rPr>
        <w:t>代理费率表：</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下述代理费率均为含税费率，增值税税率为【 】</w:t>
      </w:r>
      <w:r>
        <w:rPr>
          <w:rFonts w:asciiTheme="minorEastAsia" w:hAnsiTheme="minorEastAsia"/>
          <w:sz w:val="24"/>
        </w:rPr>
        <w:t>%</w:t>
      </w:r>
      <w:r>
        <w:rPr>
          <w:rFonts w:hint="eastAsia" w:asciiTheme="minorEastAsia" w:hAnsiTheme="minorEastAsia"/>
          <w:sz w:val="24"/>
        </w:rPr>
        <w:t>，税金根据国家税收政策的适用税率计算，若税率变动将及时调整。</w:t>
      </w:r>
    </w:p>
    <w:tbl>
      <w:tblPr>
        <w:tblStyle w:val="10"/>
        <w:tblW w:w="5330" w:type="pct"/>
        <w:tblInd w:w="0" w:type="dxa"/>
        <w:tblLayout w:type="fixed"/>
        <w:tblCellMar>
          <w:top w:w="0" w:type="dxa"/>
          <w:left w:w="108" w:type="dxa"/>
          <w:bottom w:w="0" w:type="dxa"/>
          <w:right w:w="108" w:type="dxa"/>
        </w:tblCellMar>
      </w:tblPr>
      <w:tblGrid>
        <w:gridCol w:w="2324"/>
        <w:gridCol w:w="2705"/>
        <w:gridCol w:w="4164"/>
      </w:tblGrid>
      <w:tr>
        <w:tblPrEx>
          <w:tblCellMar>
            <w:top w:w="0" w:type="dxa"/>
            <w:left w:w="108" w:type="dxa"/>
            <w:bottom w:w="0" w:type="dxa"/>
            <w:right w:w="108" w:type="dxa"/>
          </w:tblCellMar>
        </w:tblPrEx>
        <w:trPr>
          <w:trHeight w:val="493" w:hRule="atLeast"/>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numPr>
                <w:ilvl w:val="2"/>
                <w:numId w:val="1"/>
              </w:numPr>
              <w:jc w:val="left"/>
              <w:rPr>
                <w:rFonts w:ascii="宋体" w:hAnsi="宋体" w:eastAsia="宋体" w:cs="宋体"/>
                <w:color w:val="000000"/>
                <w:kern w:val="0"/>
                <w:szCs w:val="21"/>
              </w:rPr>
            </w:pPr>
            <w:r>
              <w:rPr>
                <w:rFonts w:hint="eastAsia" w:ascii="宋体" w:hAnsi="宋体" w:eastAsia="宋体" w:cs="宋体"/>
                <w:color w:val="000000"/>
                <w:kern w:val="0"/>
                <w:szCs w:val="21"/>
              </w:rPr>
              <w:t>案场独家销售代理服务费（以下称“代理费”）</w:t>
            </w:r>
          </w:p>
        </w:tc>
      </w:tr>
      <w:tr>
        <w:tblPrEx>
          <w:tblCellMar>
            <w:top w:w="0" w:type="dxa"/>
            <w:left w:w="108" w:type="dxa"/>
            <w:bottom w:w="0" w:type="dxa"/>
            <w:right w:w="108" w:type="dxa"/>
          </w:tblCellMar>
        </w:tblPrEx>
        <w:trPr>
          <w:trHeight w:val="493" w:hRule="atLeast"/>
        </w:trPr>
        <w:tc>
          <w:tcPr>
            <w:tcW w:w="12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商务报价</w:t>
            </w:r>
          </w:p>
        </w:tc>
        <w:tc>
          <w:tcPr>
            <w:tcW w:w="14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代理费费率（含税）</w:t>
            </w:r>
          </w:p>
        </w:tc>
        <w:tc>
          <w:tcPr>
            <w:tcW w:w="22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93" w:hRule="atLeast"/>
        </w:trPr>
        <w:tc>
          <w:tcPr>
            <w:tcW w:w="12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代理费</w:t>
            </w:r>
          </w:p>
        </w:tc>
        <w:tc>
          <w:tcPr>
            <w:tcW w:w="14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最高代理费（即基准代理费）</w:t>
            </w:r>
          </w:p>
        </w:tc>
      </w:tr>
      <w:tr>
        <w:tblPrEx>
          <w:tblCellMar>
            <w:top w:w="0" w:type="dxa"/>
            <w:left w:w="108" w:type="dxa"/>
            <w:bottom w:w="0" w:type="dxa"/>
            <w:right w:w="108" w:type="dxa"/>
          </w:tblCellMar>
        </w:tblPrEx>
        <w:trPr>
          <w:trHeight w:val="493" w:hRule="atLeast"/>
        </w:trPr>
        <w:tc>
          <w:tcPr>
            <w:tcW w:w="12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每期/每批次/季度考核不合格代理费</w:t>
            </w:r>
          </w:p>
        </w:tc>
        <w:tc>
          <w:tcPr>
            <w:tcW w:w="14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案场独家销售代理销售业绩考核不合格，需在最高代理费基础上打折或降点</w:t>
            </w:r>
          </w:p>
        </w:tc>
      </w:tr>
      <w:tr>
        <w:tblPrEx>
          <w:tblCellMar>
            <w:top w:w="0" w:type="dxa"/>
            <w:left w:w="108" w:type="dxa"/>
            <w:bottom w:w="0" w:type="dxa"/>
            <w:right w:w="108" w:type="dxa"/>
          </w:tblCellMar>
        </w:tblPrEx>
        <w:trPr>
          <w:trHeight w:val="311" w:hRule="atLeast"/>
        </w:trPr>
        <w:tc>
          <w:tcPr>
            <w:tcW w:w="5000"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493" w:hRule="atLeast"/>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黑体" w:hAnsi="黑体" w:eastAsia="黑体" w:cs="宋体"/>
                <w:color w:val="000000"/>
                <w:kern w:val="0"/>
                <w:szCs w:val="21"/>
              </w:rPr>
              <w:t>②</w:t>
            </w:r>
            <w:r>
              <w:rPr>
                <w:rFonts w:hint="eastAsia" w:ascii="宋体" w:hAnsi="宋体" w:eastAsia="宋体" w:cs="宋体"/>
                <w:color w:val="000000"/>
                <w:kern w:val="0"/>
                <w:szCs w:val="21"/>
              </w:rPr>
              <w:t>场外联动及其他情况销售代理费（计算一手销售业绩但一手代理费需打折）</w:t>
            </w:r>
          </w:p>
        </w:tc>
      </w:tr>
      <w:tr>
        <w:tblPrEx>
          <w:tblCellMar>
            <w:top w:w="0" w:type="dxa"/>
            <w:left w:w="108" w:type="dxa"/>
            <w:bottom w:w="0" w:type="dxa"/>
            <w:right w:w="108" w:type="dxa"/>
          </w:tblCellMar>
        </w:tblPrEx>
        <w:trPr>
          <w:trHeight w:val="493" w:hRule="atLeast"/>
        </w:trPr>
        <w:tc>
          <w:tcPr>
            <w:tcW w:w="12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商务报价</w:t>
            </w:r>
          </w:p>
        </w:tc>
        <w:tc>
          <w:tcPr>
            <w:tcW w:w="14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代理费费率（含税）</w:t>
            </w:r>
          </w:p>
        </w:tc>
        <w:tc>
          <w:tcPr>
            <w:tcW w:w="22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93" w:hRule="atLeast"/>
        </w:trPr>
        <w:tc>
          <w:tcPr>
            <w:tcW w:w="12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黑体" w:hAnsi="黑体" w:eastAsia="黑体" w:cs="宋体"/>
                <w:color w:val="000000"/>
                <w:kern w:val="0"/>
                <w:szCs w:val="21"/>
              </w:rPr>
              <w:t>②</w:t>
            </w:r>
            <w:r>
              <w:rPr>
                <w:rFonts w:ascii="宋体" w:hAnsi="宋体" w:eastAsia="宋体" w:cs="宋体"/>
                <w:color w:val="000000"/>
                <w:kern w:val="0"/>
                <w:szCs w:val="21"/>
              </w:rPr>
              <w:t>-1</w:t>
            </w:r>
            <w:r>
              <w:rPr>
                <w:rFonts w:hint="eastAsia" w:ascii="宋体" w:hAnsi="宋体" w:eastAsia="宋体" w:cs="宋体"/>
                <w:color w:val="000000"/>
                <w:kern w:val="0"/>
                <w:szCs w:val="21"/>
              </w:rPr>
              <w:t>代理费</w:t>
            </w:r>
          </w:p>
        </w:tc>
        <w:tc>
          <w:tcPr>
            <w:tcW w:w="14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渠道带客，案场代理公司参与谈客</w:t>
            </w:r>
          </w:p>
        </w:tc>
      </w:tr>
      <w:tr>
        <w:tblPrEx>
          <w:tblCellMar>
            <w:top w:w="0" w:type="dxa"/>
            <w:left w:w="108" w:type="dxa"/>
            <w:bottom w:w="0" w:type="dxa"/>
            <w:right w:w="108" w:type="dxa"/>
          </w:tblCellMar>
        </w:tblPrEx>
        <w:trPr>
          <w:trHeight w:val="493" w:hRule="atLeast"/>
        </w:trPr>
        <w:tc>
          <w:tcPr>
            <w:tcW w:w="12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黑体" w:hAnsi="黑体" w:eastAsia="黑体" w:cs="宋体"/>
                <w:color w:val="000000"/>
                <w:kern w:val="0"/>
                <w:szCs w:val="21"/>
              </w:rPr>
              <w:t>②</w:t>
            </w:r>
            <w:r>
              <w:rPr>
                <w:rFonts w:hint="eastAsia" w:ascii="宋体" w:hAnsi="宋体" w:eastAsia="宋体" w:cs="宋体"/>
                <w:color w:val="000000"/>
                <w:kern w:val="0"/>
                <w:szCs w:val="21"/>
              </w:rPr>
              <w:t>-</w:t>
            </w:r>
            <w:r>
              <w:rPr>
                <w:rFonts w:ascii="宋体" w:hAnsi="宋体" w:eastAsia="宋体" w:cs="宋体"/>
                <w:color w:val="000000"/>
                <w:kern w:val="0"/>
                <w:szCs w:val="21"/>
              </w:rPr>
              <w:t>2</w:t>
            </w:r>
            <w:r>
              <w:rPr>
                <w:rFonts w:hint="eastAsia" w:ascii="宋体" w:hAnsi="宋体" w:eastAsia="宋体" w:cs="宋体"/>
                <w:color w:val="000000"/>
                <w:kern w:val="0"/>
                <w:szCs w:val="21"/>
              </w:rPr>
              <w:t>代理费</w:t>
            </w:r>
          </w:p>
        </w:tc>
        <w:tc>
          <w:tcPr>
            <w:tcW w:w="14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场外大客户代理自行带客、案场谈客</w:t>
            </w:r>
          </w:p>
        </w:tc>
      </w:tr>
      <w:tr>
        <w:tblPrEx>
          <w:tblCellMar>
            <w:top w:w="0" w:type="dxa"/>
            <w:left w:w="108" w:type="dxa"/>
            <w:bottom w:w="0" w:type="dxa"/>
            <w:right w:w="108" w:type="dxa"/>
          </w:tblCellMar>
        </w:tblPrEx>
        <w:trPr>
          <w:trHeight w:val="493" w:hRule="atLeast"/>
        </w:trPr>
        <w:tc>
          <w:tcPr>
            <w:tcW w:w="12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黑体" w:hAnsi="黑体" w:eastAsia="黑体" w:cs="宋体"/>
                <w:color w:val="000000"/>
                <w:kern w:val="0"/>
                <w:szCs w:val="21"/>
              </w:rPr>
              <w:t>②</w:t>
            </w:r>
            <w:r>
              <w:rPr>
                <w:rFonts w:hint="eastAsia" w:ascii="宋体" w:hAnsi="宋体" w:eastAsia="宋体" w:cs="宋体"/>
                <w:color w:val="000000"/>
                <w:kern w:val="0"/>
                <w:szCs w:val="21"/>
              </w:rPr>
              <w:t>-</w:t>
            </w:r>
            <w:r>
              <w:rPr>
                <w:rFonts w:ascii="宋体" w:hAnsi="宋体" w:eastAsia="宋体" w:cs="宋体"/>
                <w:color w:val="000000"/>
                <w:kern w:val="0"/>
                <w:szCs w:val="21"/>
              </w:rPr>
              <w:t>3</w:t>
            </w:r>
            <w:r>
              <w:rPr>
                <w:rFonts w:hint="eastAsia" w:ascii="宋体" w:hAnsi="宋体" w:eastAsia="宋体" w:cs="宋体"/>
                <w:color w:val="000000"/>
                <w:kern w:val="0"/>
                <w:szCs w:val="21"/>
              </w:rPr>
              <w:t>代理费</w:t>
            </w:r>
          </w:p>
        </w:tc>
        <w:tc>
          <w:tcPr>
            <w:tcW w:w="147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2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特殊成交，即特批的底价或穿底价销售</w:t>
            </w:r>
          </w:p>
        </w:tc>
      </w:tr>
    </w:tbl>
    <w:p>
      <w:pPr>
        <w:spacing w:after="156" w:afterLines="50" w:line="400" w:lineRule="exact"/>
        <w:ind w:firstLine="480" w:firstLineChars="200"/>
        <w:jc w:val="left"/>
        <w:rPr>
          <w:rFonts w:asciiTheme="minorEastAsia" w:hAnsiTheme="minorEastAsia"/>
          <w:sz w:val="24"/>
        </w:rPr>
      </w:pP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5.1.3 </w:t>
      </w:r>
      <w:r>
        <w:rPr>
          <w:rFonts w:hint="eastAsia" w:asciiTheme="minorEastAsia" w:hAnsiTheme="minorEastAsia"/>
          <w:sz w:val="24"/>
        </w:rPr>
        <w:t>最高代理费（即基准代理费）。案场独家销售代理公司的最高商务报价。主要通过客户来认定：客户自主或由案场独家代理公司自行call客户前往项目销售现场，并接受案场独家代理公司销售顾问全程销售服务，若客户成交且达成当期考核周期销售业绩，则按最高代理费计算代理费。</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5.1.4 </w:t>
      </w:r>
      <w:r>
        <w:rPr>
          <w:rFonts w:hint="eastAsia" w:asciiTheme="minorEastAsia" w:hAnsiTheme="minorEastAsia"/>
          <w:sz w:val="24"/>
        </w:rPr>
        <w:t>每期/每批次/季度不合格代理费。设定每3个月为一批次考核周期（即季度考核）：</w:t>
      </w:r>
      <w:r>
        <w:rPr>
          <w:rFonts w:hint="eastAsia" w:asciiTheme="minorEastAsia" w:hAnsiTheme="minorEastAsia" w:eastAsiaTheme="minorEastAsia"/>
          <w:sz w:val="24"/>
        </w:rPr>
        <w:t>①</w:t>
      </w:r>
      <w:r>
        <w:rPr>
          <w:rFonts w:hint="eastAsia" w:asciiTheme="minorEastAsia" w:hAnsiTheme="minorEastAsia"/>
          <w:sz w:val="24"/>
        </w:rPr>
        <w:t>若乙方第1、2个月销售不达标则当月按“每期/每批次/季度考核不合格代理费”的代理费率计算月度代理费，但第3个月销售超额完成，且1、2、3月销售业绩之和等于或大于考核期销售目标的，则1、2、3月所有销售业绩按照当期销售业绩“最高代理费”费率计算代理费；</w:t>
      </w:r>
      <w:r>
        <w:rPr>
          <w:rFonts w:hint="eastAsia" w:asciiTheme="minorEastAsia" w:hAnsiTheme="minorEastAsia" w:eastAsiaTheme="minorEastAsia"/>
          <w:sz w:val="24"/>
        </w:rPr>
        <w:t>②</w:t>
      </w:r>
      <w:r>
        <w:rPr>
          <w:rFonts w:hint="eastAsia" w:asciiTheme="minorEastAsia" w:hAnsiTheme="minorEastAsia"/>
          <w:sz w:val="24"/>
        </w:rPr>
        <w:t>若1、2月销售业绩达标，则1、2月可以按“最高代理费”计算月度代理费，但第3个月月度考核不达标且</w:t>
      </w:r>
      <w:r>
        <w:rPr>
          <w:rFonts w:asciiTheme="minorEastAsia" w:hAnsiTheme="minorEastAsia"/>
          <w:sz w:val="24"/>
          <w:highlight w:val="none"/>
        </w:rPr>
        <w:t>1、2、3月销</w:t>
      </w:r>
      <w:r>
        <w:rPr>
          <w:rFonts w:hint="eastAsia" w:asciiTheme="minorEastAsia" w:hAnsiTheme="minorEastAsia"/>
          <w:sz w:val="24"/>
        </w:rPr>
        <w:t>售业绩之和小于考核期销售目标的，则第</w:t>
      </w:r>
      <w:r>
        <w:rPr>
          <w:rFonts w:asciiTheme="minorEastAsia" w:hAnsiTheme="minorEastAsia"/>
          <w:sz w:val="24"/>
        </w:rPr>
        <w:t>3</w:t>
      </w:r>
      <w:r>
        <w:rPr>
          <w:rFonts w:hint="eastAsia" w:asciiTheme="minorEastAsia" w:hAnsiTheme="minorEastAsia"/>
          <w:sz w:val="24"/>
        </w:rPr>
        <w:t>个月按“每期/每批次/季度考核不合格代理费”计算本月度代理费，但若1、2、3月销售业绩之和等于或大于考核期销售目标的，则第3个月可按“最高代理费”计算本月度代理费。</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5.1.5</w:t>
      </w:r>
      <w:r>
        <w:rPr>
          <w:rFonts w:hint="eastAsia" w:asciiTheme="minorEastAsia" w:hAnsiTheme="minorEastAsia"/>
          <w:sz w:val="24"/>
        </w:rPr>
        <w:t>场外联动及其他情况销售代理费：</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5.1.5.1</w:t>
      </w:r>
      <w:r>
        <w:rPr>
          <w:rFonts w:hint="eastAsia" w:asciiTheme="minorEastAsia" w:hAnsiTheme="minorEastAsia"/>
          <w:sz w:val="24"/>
        </w:rPr>
        <w:t>渠道带客，案场代理公司参与谈客。与联动公司签署《渠道代理合同》，渠道销售顾问将客户带往项目销售现场，独家案场代理公司销售顾问负责客户全程销售服务，若客户成交，独家案场代理公司销售代理费需在“最高代理费”基准上打折，但成交可计算考核周期的销售业绩。</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5.1.5.2</w:t>
      </w:r>
      <w:r>
        <w:rPr>
          <w:rFonts w:hint="eastAsia" w:asciiTheme="minorEastAsia" w:hAnsiTheme="minorEastAsia"/>
          <w:sz w:val="24"/>
        </w:rPr>
        <w:t>场外大客户代理自行带客、案场谈客。与场外代理公司签署《场外代理合同》，场外代理自行带客至项目销售现场进行销售服务，若客户成交，案场独家销售代理公司需协助提供常规客户成交后之交易服务，独家案场代理公司销售代理费需在“最高代理费”基准上打折，但成交可计算考核周期的销售业绩。</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5.1.5.3</w:t>
      </w:r>
      <w:r>
        <w:rPr>
          <w:rFonts w:hint="eastAsia" w:asciiTheme="minorEastAsia" w:hAnsiTheme="minorEastAsia"/>
          <w:sz w:val="24"/>
        </w:rPr>
        <w:t>特殊成交，即特批的底价或穿底价销售。包括但不限于甲方员工特惠购房、甲方大客户自有资源等，由独家案场代理公司销售顾问负责客户全程销售服务，若客户成交，独家案场代理公司销售代理费需在“最高代理费”基准上打折，但成交可计算考核周期的销售业绩。</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5.1.6</w:t>
      </w:r>
      <w:r>
        <w:rPr>
          <w:rFonts w:hint="eastAsia" w:asciiTheme="minorEastAsia" w:hAnsiTheme="minorEastAsia"/>
          <w:sz w:val="24"/>
        </w:rPr>
        <w:t xml:space="preserve"> 场外联动及其他情况销售代理费，计算一手销售业绩但一手代理费需打折：独家案场销售代理公司对此类销售代理服务之代理费需按“最高代理费”打折，但此类成交面积可纳入对案场销售代理公司的业绩考核内。</w:t>
      </w:r>
    </w:p>
    <w:p>
      <w:pPr>
        <w:spacing w:after="156" w:afterLines="50" w:line="400" w:lineRule="exact"/>
        <w:ind w:firstLine="480" w:firstLineChars="200"/>
        <w:jc w:val="left"/>
        <w:rPr>
          <w:rFonts w:asciiTheme="minorEastAsia" w:hAnsiTheme="minorEastAsia"/>
          <w:sz w:val="24"/>
        </w:rPr>
      </w:pP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5.2  </w:t>
      </w:r>
      <w:r>
        <w:rPr>
          <w:rFonts w:hint="eastAsia" w:asciiTheme="minorEastAsia" w:hAnsiTheme="minorEastAsia"/>
          <w:sz w:val="24"/>
        </w:rPr>
        <w:t>代理费的支付方式：</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5.2.1  </w:t>
      </w:r>
      <w:r>
        <w:rPr>
          <w:rFonts w:hint="eastAsia" w:asciiTheme="minorEastAsia" w:hAnsiTheme="minorEastAsia"/>
          <w:sz w:val="24"/>
        </w:rPr>
        <w:t>付款条件：</w:t>
      </w:r>
    </w:p>
    <w:p>
      <w:pPr>
        <w:spacing w:after="156" w:afterLines="50" w:line="400" w:lineRule="exact"/>
        <w:ind w:firstLine="480" w:firstLineChars="200"/>
        <w:jc w:val="left"/>
        <w:rPr>
          <w:rFonts w:asciiTheme="minorEastAsia" w:hAnsiTheme="minorEastAsia"/>
          <w:sz w:val="24"/>
          <w:szCs w:val="24"/>
        </w:rPr>
      </w:pPr>
      <w:r>
        <w:rPr>
          <w:rFonts w:asciiTheme="minorEastAsia" w:hAnsiTheme="minorEastAsia"/>
          <w:sz w:val="24"/>
        </w:rPr>
        <w:t>5.2.1.1</w:t>
      </w:r>
      <w:r>
        <w:rPr>
          <w:rFonts w:hint="eastAsia" w:asciiTheme="minorEastAsia" w:hAnsiTheme="minorEastAsia"/>
          <w:sz w:val="24"/>
          <w:szCs w:val="24"/>
        </w:rPr>
        <w:t>客户付清首期购房款并签订买卖合同后，甲方向乙方预付</w:t>
      </w:r>
      <w:r>
        <w:rPr>
          <w:rFonts w:asciiTheme="minorEastAsia" w:hAnsiTheme="minorEastAsia"/>
          <w:sz w:val="24"/>
          <w:szCs w:val="24"/>
        </w:rPr>
        <w:t>50%</w:t>
      </w:r>
      <w:r>
        <w:rPr>
          <w:rFonts w:hint="eastAsia" w:asciiTheme="minorEastAsia" w:hAnsiTheme="minorEastAsia"/>
          <w:sz w:val="24"/>
          <w:szCs w:val="24"/>
        </w:rPr>
        <w:t>的代理费。</w:t>
      </w:r>
    </w:p>
    <w:p>
      <w:pPr>
        <w:spacing w:after="156" w:afterLines="50" w:line="400" w:lineRule="exact"/>
        <w:ind w:firstLine="480" w:firstLineChars="200"/>
        <w:jc w:val="left"/>
        <w:rPr>
          <w:rFonts w:asciiTheme="minorEastAsia" w:hAnsiTheme="minorEastAsia"/>
          <w:sz w:val="24"/>
          <w:szCs w:val="24"/>
        </w:rPr>
      </w:pPr>
      <w:r>
        <w:rPr>
          <w:rFonts w:asciiTheme="minorEastAsia" w:hAnsiTheme="minorEastAsia"/>
          <w:sz w:val="24"/>
        </w:rPr>
        <w:t xml:space="preserve">5.2.1.2 </w:t>
      </w:r>
      <w:r>
        <w:rPr>
          <w:rFonts w:hint="eastAsia" w:asciiTheme="minorEastAsia" w:hAnsiTheme="minorEastAsia"/>
          <w:sz w:val="24"/>
        </w:rPr>
        <w:t>客户买卖合同完成预告登记备案并付清全部房款后</w:t>
      </w:r>
      <w:r>
        <w:rPr>
          <w:rFonts w:hint="eastAsia" w:asciiTheme="minorEastAsia" w:hAnsiTheme="minorEastAsia"/>
          <w:sz w:val="24"/>
          <w:szCs w:val="24"/>
        </w:rPr>
        <w:t>，甲方向乙方支付</w:t>
      </w:r>
      <w:r>
        <w:rPr>
          <w:rFonts w:asciiTheme="minorEastAsia" w:hAnsiTheme="minorEastAsia"/>
          <w:sz w:val="24"/>
          <w:szCs w:val="24"/>
        </w:rPr>
        <w:t>45%的代理费；</w:t>
      </w:r>
      <w:r>
        <w:rPr>
          <w:rFonts w:hint="eastAsia" w:asciiTheme="minorEastAsia" w:hAnsiTheme="minorEastAsia"/>
          <w:sz w:val="24"/>
          <w:szCs w:val="24"/>
        </w:rPr>
        <w:t>如相应单位最终未能成功代理销售的，乙方向甲方退回甲方预付的代理费，或由甲方在应付予乙方的代理费中相应扣除甲方预付的代理费。</w:t>
      </w:r>
    </w:p>
    <w:p>
      <w:pPr>
        <w:spacing w:after="156" w:afterLines="50" w:line="400" w:lineRule="exact"/>
        <w:ind w:firstLine="480" w:firstLineChars="200"/>
        <w:jc w:val="left"/>
        <w:rPr>
          <w:rFonts w:asciiTheme="minorEastAsia" w:hAnsiTheme="minorEastAsia"/>
          <w:sz w:val="24"/>
          <w:szCs w:val="24"/>
        </w:rPr>
      </w:pPr>
      <w:r>
        <w:rPr>
          <w:rFonts w:asciiTheme="minorEastAsia" w:hAnsiTheme="minorEastAsia"/>
          <w:sz w:val="24"/>
        </w:rPr>
        <w:t>5.2.1.3</w:t>
      </w:r>
      <w:r>
        <w:rPr>
          <w:rFonts w:hint="eastAsia" w:asciiTheme="minorEastAsia" w:hAnsiTheme="minorEastAsia"/>
          <w:sz w:val="24"/>
        </w:rPr>
        <w:t>余下</w:t>
      </w:r>
      <w:r>
        <w:rPr>
          <w:rFonts w:asciiTheme="minorEastAsia" w:hAnsiTheme="minorEastAsia"/>
          <w:sz w:val="24"/>
        </w:rPr>
        <w:t>5%的代理费在乙方协助甲方完成交付</w:t>
      </w:r>
      <w:r>
        <w:rPr>
          <w:rFonts w:hint="eastAsia" w:asciiTheme="minorEastAsia" w:hAnsiTheme="minorEastAsia"/>
          <w:sz w:val="24"/>
        </w:rPr>
        <w:t>工作</w:t>
      </w:r>
      <w:r>
        <w:rPr>
          <w:rFonts w:asciiTheme="minorEastAsia" w:hAnsiTheme="minorEastAsia"/>
          <w:sz w:val="24"/>
        </w:rPr>
        <w:t>并在</w:t>
      </w:r>
      <w:r>
        <w:rPr>
          <w:rFonts w:hint="eastAsia" w:asciiTheme="minorEastAsia" w:hAnsiTheme="minorEastAsia"/>
          <w:sz w:val="24"/>
        </w:rPr>
        <w:t>客户收楼后支付。</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rPr>
        <w:t>5.2.1.3.1对于集中交楼期间收楼单位：</w:t>
      </w:r>
      <w:r>
        <w:rPr>
          <w:rFonts w:hint="eastAsia" w:asciiTheme="minorEastAsia" w:hAnsiTheme="minorEastAsia"/>
          <w:sz w:val="24"/>
          <w:szCs w:val="24"/>
        </w:rPr>
        <w:t>集中交楼期届满的次月，</w:t>
      </w:r>
      <w:r>
        <w:rPr>
          <w:rFonts w:asciiTheme="minorEastAsia" w:hAnsiTheme="minorEastAsia"/>
          <w:sz w:val="24"/>
          <w:szCs w:val="24"/>
        </w:rPr>
        <w:t>如乙方</w:t>
      </w:r>
      <w:r>
        <w:rPr>
          <w:rFonts w:hint="eastAsia" w:asciiTheme="minorEastAsia" w:hAnsiTheme="minorEastAsia"/>
          <w:sz w:val="24"/>
          <w:szCs w:val="24"/>
        </w:rPr>
        <w:t>已积极配合甲方完成交付工作并且</w:t>
      </w:r>
      <w:r>
        <w:rPr>
          <w:rFonts w:asciiTheme="minorEastAsia" w:hAnsiTheme="minorEastAsia"/>
          <w:sz w:val="24"/>
          <w:szCs w:val="24"/>
        </w:rPr>
        <w:t>没有违约行为</w:t>
      </w:r>
      <w:r>
        <w:rPr>
          <w:rFonts w:hint="eastAsia" w:asciiTheme="minorEastAsia" w:hAnsiTheme="minorEastAsia"/>
          <w:sz w:val="24"/>
          <w:szCs w:val="24"/>
        </w:rPr>
        <w:t>（如有违约情况，需经甲乙双方调查属实，并书面确认）</w:t>
      </w:r>
      <w:r>
        <w:rPr>
          <w:rFonts w:asciiTheme="minorEastAsia" w:hAnsiTheme="minorEastAsia"/>
          <w:sz w:val="24"/>
          <w:szCs w:val="24"/>
        </w:rPr>
        <w:t>，</w:t>
      </w:r>
      <w:r>
        <w:rPr>
          <w:rFonts w:hint="eastAsia" w:asciiTheme="minorEastAsia" w:hAnsiTheme="minorEastAsia"/>
          <w:sz w:val="24"/>
          <w:szCs w:val="24"/>
        </w:rPr>
        <w:t>甲方按约定支付前述单位剩余5%的代理费用。</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rPr>
        <w:t>5.2.1.3.2对于集中交楼期届满起六个月内收楼或</w:t>
      </w:r>
      <w:r>
        <w:rPr>
          <w:rFonts w:hint="eastAsia" w:asciiTheme="minorEastAsia" w:hAnsiTheme="minorEastAsia"/>
          <w:sz w:val="24"/>
          <w:szCs w:val="24"/>
        </w:rPr>
        <w:t>自集中交楼期限</w:t>
      </w:r>
      <w:r>
        <w:rPr>
          <w:rFonts w:asciiTheme="minorEastAsia" w:hAnsiTheme="minorEastAsia"/>
          <w:sz w:val="24"/>
          <w:szCs w:val="24"/>
        </w:rPr>
        <w:t>届满之日起6个月仍未收楼的</w:t>
      </w:r>
      <w:r>
        <w:rPr>
          <w:rFonts w:hint="eastAsia" w:asciiTheme="minorEastAsia" w:hAnsiTheme="minorEastAsia"/>
          <w:sz w:val="24"/>
        </w:rPr>
        <w:t>单位：均视为前述单位在</w:t>
      </w:r>
      <w:r>
        <w:rPr>
          <w:rFonts w:hint="eastAsia" w:asciiTheme="minorEastAsia" w:hAnsiTheme="minorEastAsia"/>
          <w:sz w:val="24"/>
          <w:szCs w:val="24"/>
        </w:rPr>
        <w:t>集中</w:t>
      </w:r>
      <w:r>
        <w:rPr>
          <w:rFonts w:asciiTheme="minorEastAsia" w:hAnsiTheme="minorEastAsia"/>
          <w:sz w:val="24"/>
          <w:szCs w:val="24"/>
        </w:rPr>
        <w:t>交</w:t>
      </w:r>
      <w:r>
        <w:rPr>
          <w:rFonts w:hint="eastAsia" w:asciiTheme="minorEastAsia" w:hAnsiTheme="minorEastAsia"/>
          <w:sz w:val="24"/>
          <w:szCs w:val="24"/>
        </w:rPr>
        <w:t>楼</w:t>
      </w:r>
      <w:r>
        <w:rPr>
          <w:rFonts w:asciiTheme="minorEastAsia" w:hAnsiTheme="minorEastAsia"/>
          <w:sz w:val="24"/>
          <w:szCs w:val="24"/>
        </w:rPr>
        <w:t>期限届满</w:t>
      </w:r>
      <w:r>
        <w:rPr>
          <w:rFonts w:hint="eastAsia" w:asciiTheme="minorEastAsia" w:hAnsiTheme="minorEastAsia"/>
          <w:sz w:val="24"/>
          <w:szCs w:val="24"/>
        </w:rPr>
        <w:t>之日起第</w:t>
      </w:r>
      <w:r>
        <w:rPr>
          <w:rFonts w:asciiTheme="minorEastAsia" w:hAnsiTheme="minorEastAsia"/>
          <w:sz w:val="24"/>
          <w:szCs w:val="24"/>
        </w:rPr>
        <w:t>6个月</w:t>
      </w:r>
      <w:r>
        <w:rPr>
          <w:rFonts w:hint="eastAsia" w:asciiTheme="minorEastAsia" w:hAnsiTheme="minorEastAsia"/>
          <w:sz w:val="24"/>
          <w:szCs w:val="24"/>
        </w:rPr>
        <w:t>收楼，</w:t>
      </w:r>
      <w:r>
        <w:rPr>
          <w:rFonts w:asciiTheme="minorEastAsia" w:hAnsiTheme="minorEastAsia"/>
          <w:sz w:val="24"/>
          <w:szCs w:val="24"/>
        </w:rPr>
        <w:t>如乙方</w:t>
      </w:r>
      <w:r>
        <w:rPr>
          <w:rFonts w:hint="eastAsia" w:asciiTheme="minorEastAsia" w:hAnsiTheme="minorEastAsia"/>
          <w:sz w:val="24"/>
          <w:szCs w:val="24"/>
        </w:rPr>
        <w:t>已积极</w:t>
      </w:r>
      <w:r>
        <w:rPr>
          <w:rFonts w:asciiTheme="minorEastAsia" w:hAnsiTheme="minorEastAsia"/>
          <w:sz w:val="24"/>
          <w:szCs w:val="24"/>
        </w:rPr>
        <w:t>配合</w:t>
      </w:r>
      <w:r>
        <w:rPr>
          <w:rFonts w:hint="eastAsia" w:asciiTheme="minorEastAsia" w:hAnsiTheme="minorEastAsia"/>
          <w:sz w:val="24"/>
          <w:szCs w:val="24"/>
        </w:rPr>
        <w:t>甲方</w:t>
      </w:r>
      <w:r>
        <w:rPr>
          <w:rFonts w:asciiTheme="minorEastAsia" w:hAnsiTheme="minorEastAsia"/>
          <w:sz w:val="24"/>
          <w:szCs w:val="24"/>
        </w:rPr>
        <w:t>完成交付工作且没有违约行为</w:t>
      </w:r>
      <w:r>
        <w:rPr>
          <w:rFonts w:hint="eastAsia" w:asciiTheme="minorEastAsia" w:hAnsiTheme="minorEastAsia"/>
          <w:sz w:val="24"/>
          <w:szCs w:val="24"/>
        </w:rPr>
        <w:t>（如有违约情况，需经甲乙双方调查属实，并书面确认）</w:t>
      </w:r>
      <w:r>
        <w:rPr>
          <w:rFonts w:asciiTheme="minorEastAsia" w:hAnsiTheme="minorEastAsia"/>
          <w:sz w:val="24"/>
          <w:szCs w:val="24"/>
        </w:rPr>
        <w:t>，</w:t>
      </w:r>
      <w:r>
        <w:rPr>
          <w:rFonts w:hint="eastAsia" w:asciiTheme="minorEastAsia" w:hAnsiTheme="minorEastAsia"/>
          <w:sz w:val="24"/>
          <w:szCs w:val="24"/>
        </w:rPr>
        <w:t>甲方按约定支付前述单位剩余5%的代理费用。</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rPr>
        <w:t>5</w:t>
      </w:r>
      <w:r>
        <w:rPr>
          <w:rFonts w:asciiTheme="minorEastAsia" w:hAnsiTheme="minorEastAsia"/>
          <w:sz w:val="24"/>
        </w:rPr>
        <w:t>.2.</w:t>
      </w:r>
      <w:r>
        <w:rPr>
          <w:rFonts w:hint="eastAsia" w:asciiTheme="minorEastAsia" w:hAnsiTheme="minorEastAsia"/>
          <w:sz w:val="24"/>
        </w:rPr>
        <w:t>1</w:t>
      </w:r>
      <w:r>
        <w:rPr>
          <w:rFonts w:asciiTheme="minorEastAsia" w:hAnsiTheme="minorEastAsia"/>
          <w:sz w:val="24"/>
        </w:rPr>
        <w:t>.4</w:t>
      </w:r>
      <w:r>
        <w:rPr>
          <w:rFonts w:hint="eastAsia" w:asciiTheme="minorEastAsia" w:hAnsiTheme="minorEastAsia"/>
          <w:sz w:val="24"/>
        </w:rPr>
        <w:t>最后结算支付前，乙方应向甲方提供与最终结算价相应金额等额的合法有效的代理费增值税专用发票。</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5.2.2</w:t>
      </w:r>
      <w:r>
        <w:rPr>
          <w:rFonts w:hint="eastAsia" w:asciiTheme="minorEastAsia" w:hAnsiTheme="minorEastAsia"/>
          <w:sz w:val="24"/>
        </w:rPr>
        <w:t>乙方每月向甲方提交达到付款条件的单位的确认清单，清单内容包括但不限于单位房号、合同价款、客户名称、完成系数、代理费数额等信息，由甲方签字确认，作为代理费结算确认的依据。</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5.2.3 </w:t>
      </w:r>
      <w:r>
        <w:rPr>
          <w:rFonts w:hint="eastAsia" w:asciiTheme="minorEastAsia" w:hAnsiTheme="minorEastAsia"/>
          <w:sz w:val="24"/>
        </w:rPr>
        <w:t>代理费每月结算一次，乙方需每月</w:t>
      </w:r>
      <w:r>
        <w:rPr>
          <w:rFonts w:asciiTheme="minorEastAsia" w:hAnsiTheme="minorEastAsia"/>
          <w:sz w:val="24"/>
        </w:rPr>
        <w:t>5号前向甲方提交上个月的代理费结算确认表并经甲方签字确认。乙方应在甲方确认代理费确认表之日起3个工作日内提供付款申请书和相应金额合法有效的代理费增值税专用发票，甲方在收到付款申请书及足额有效的增值税专用发票之日起二十</w:t>
      </w:r>
      <w:r>
        <w:rPr>
          <w:rFonts w:hint="eastAsia" w:asciiTheme="minorEastAsia" w:hAnsiTheme="minorEastAsia"/>
          <w:sz w:val="24"/>
        </w:rPr>
        <w:t>八个工作日内向乙方支付上月代理费。乙方银行账户如下:</w:t>
      </w:r>
    </w:p>
    <w:p>
      <w:pPr>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公司全称：</w:t>
      </w:r>
    </w:p>
    <w:p>
      <w:pPr>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 xml:space="preserve">社会统一信用代码： </w:t>
      </w:r>
    </w:p>
    <w:p>
      <w:pPr>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银行账号：</w:t>
      </w:r>
    </w:p>
    <w:p>
      <w:pPr>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 xml:space="preserve">开户银行： </w:t>
      </w:r>
    </w:p>
    <w:p>
      <w:pPr>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乙方确保上述收款账户信息的真实准确性，甲方向上述账户付款视为甲方已按合同约定履行付款义务，若由于乙方提供账户信息错误或乙方变更账户导致未能收到甲方款项的，甲方不承担责任。</w:t>
      </w:r>
    </w:p>
    <w:p>
      <w:pPr>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甲方已登记成为增值税一般纳税人并且已经通知乙方，乙方须在甲方根据本合同支付各种款项时或更早，依法按照适用的增值税税率开具合法有效的增值税专用发票，如乙方向甲方开具的增值税专用发票是无效虚假发票或者发生延迟开具增值税专用发票的情况，乙方应负责赔偿甲方因为乙方开具虚假发票和延迟开具发票造成的一切损失或损害，包括但不限于税金、附加费、罚金、滞纳金和法律费用。</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5.2.4 </w:t>
      </w:r>
      <w:r>
        <w:rPr>
          <w:rFonts w:hint="eastAsia" w:asciiTheme="minorEastAsia" w:hAnsiTheme="minorEastAsia"/>
          <w:sz w:val="24"/>
        </w:rPr>
        <w:t>如客户在签署认购书后解除的，则该单位不计入乙方的销售业绩（如已计算则相应扣除）；因客户违约而没收的定金（如有）归甲方所有。如根据合同约定或客观情况确实需要返还定金时，由甲方退还所收取的定金（含诚意金、临时订金、</w:t>
      </w:r>
      <w:r>
        <w:rPr>
          <w:rFonts w:asciiTheme="minorEastAsia" w:hAnsiTheme="minorEastAsia"/>
          <w:sz w:val="24"/>
        </w:rPr>
        <w:t>VIP</w:t>
      </w:r>
      <w:r>
        <w:rPr>
          <w:rFonts w:hint="eastAsia" w:asciiTheme="minorEastAsia" w:hAnsiTheme="minorEastAsia"/>
          <w:sz w:val="24"/>
        </w:rPr>
        <w:t>卡费用、正式定金）。</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5.2.5 </w:t>
      </w:r>
      <w:r>
        <w:rPr>
          <w:rFonts w:hint="eastAsia" w:asciiTheme="minorEastAsia" w:hAnsiTheme="minorEastAsia"/>
          <w:sz w:val="24"/>
        </w:rPr>
        <w:t>如客户在签订买卖合同之后，出现买卖合同终止或解除等销售代理不成功情形的，则该单位不在乙方的销售业绩中扣除，但甲方不向乙方支付任何费用（已支付的销售代理费用甲方有权直接在当月应付的销售代理费中扣减），且甲方根据法律规定或合同约定所收取的违约金全部归甲方所有。该等单位重新投入并成功由乙方代理销售的，甲方仍按本合同相关约定向乙方结算代理费，但销售业绩不再重新计算。</w:t>
      </w:r>
    </w:p>
    <w:p>
      <w:pPr>
        <w:snapToGrid w:val="0"/>
        <w:spacing w:after="156" w:afterLines="50" w:line="400" w:lineRule="exact"/>
        <w:ind w:firstLine="480" w:firstLineChars="200"/>
        <w:jc w:val="left"/>
        <w:rPr>
          <w:rFonts w:asciiTheme="minorEastAsia" w:hAnsiTheme="minorEastAsia"/>
          <w:spacing w:val="4"/>
          <w:sz w:val="24"/>
        </w:rPr>
      </w:pPr>
      <w:r>
        <w:rPr>
          <w:rFonts w:asciiTheme="minorEastAsia" w:hAnsiTheme="minorEastAsia"/>
          <w:sz w:val="24"/>
        </w:rPr>
        <w:t xml:space="preserve">5.2.6 </w:t>
      </w:r>
      <w:r>
        <w:rPr>
          <w:rFonts w:hint="eastAsia" w:asciiTheme="minorEastAsia" w:hAnsiTheme="minorEastAsia"/>
          <w:spacing w:val="4"/>
          <w:sz w:val="24"/>
        </w:rPr>
        <w:t>甲方按本合同约定或法律规定单方解除本合同的，除按本合同约定向乙方结清其已成功代理销售的所有单位的代理费外，无须再支付其它任何费用及承担任何责任。如结算后，乙方根据本合同的约定须向甲方返还款项或支付违约金的，乙方应在结算工作完成之日起</w:t>
      </w:r>
      <w:r>
        <w:rPr>
          <w:rFonts w:asciiTheme="minorEastAsia" w:hAnsiTheme="minorEastAsia"/>
          <w:spacing w:val="4"/>
          <w:sz w:val="24"/>
        </w:rPr>
        <w:t>7天内向甲方返还款项或支</w:t>
      </w:r>
      <w:r>
        <w:rPr>
          <w:rFonts w:hint="eastAsia" w:asciiTheme="minorEastAsia" w:hAnsiTheme="minorEastAsia"/>
          <w:spacing w:val="4"/>
          <w:sz w:val="24"/>
        </w:rPr>
        <w:t>付违约金，或甲方有权直接在应付款中扣除，否则自逾期之日，甲方有权按每日万分之三的标准要求乙方加付违约金。</w:t>
      </w:r>
    </w:p>
    <w:p>
      <w:pPr>
        <w:snapToGrid w:val="0"/>
        <w:spacing w:after="156" w:afterLines="50" w:line="400" w:lineRule="exact"/>
        <w:ind w:firstLine="480" w:firstLineChars="200"/>
        <w:jc w:val="left"/>
        <w:rPr>
          <w:rFonts w:asciiTheme="minorEastAsia" w:hAnsiTheme="minorEastAsia"/>
          <w:sz w:val="24"/>
        </w:rPr>
      </w:pPr>
    </w:p>
    <w:p>
      <w:pPr>
        <w:spacing w:after="156" w:afterLines="50" w:line="400" w:lineRule="exact"/>
        <w:ind w:firstLine="482" w:firstLineChars="200"/>
        <w:jc w:val="left"/>
        <w:rPr>
          <w:rFonts w:asciiTheme="minorEastAsia" w:hAnsiTheme="minorEastAsia"/>
          <w:b/>
          <w:sz w:val="24"/>
        </w:rPr>
      </w:pPr>
      <w:r>
        <w:rPr>
          <w:rFonts w:hint="eastAsia" w:asciiTheme="minorEastAsia" w:hAnsiTheme="minorEastAsia"/>
          <w:b/>
          <w:sz w:val="24"/>
        </w:rPr>
        <w:t>6 违约责任</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6</w:t>
      </w:r>
      <w:r>
        <w:rPr>
          <w:rFonts w:asciiTheme="minorEastAsia" w:hAnsiTheme="minorEastAsia"/>
          <w:sz w:val="24"/>
        </w:rPr>
        <w:t>.1</w:t>
      </w:r>
      <w:r>
        <w:rPr>
          <w:rFonts w:hint="eastAsia" w:asciiTheme="minorEastAsia" w:hAnsiTheme="minorEastAsia"/>
          <w:sz w:val="24"/>
        </w:rPr>
        <w:t>如乙方未能履行本合同约定的责任和义务或履行义务不符合甲方要求的，甲方可书面催告乙方履行（本合同另有约定无需书面催告的情形除外），甲方应明确指出不符合要求之处，如经催告后七个工作日内，乙方仍不履行或履行义务不符合甲方要求的，视为乙方根本违约，甲方有权单方解除本合同，乙方应按照6.5</w:t>
      </w:r>
      <w:r>
        <w:rPr>
          <w:rFonts w:asciiTheme="minorEastAsia" w:hAnsiTheme="minorEastAsia"/>
          <w:sz w:val="24"/>
        </w:rPr>
        <w:t>的约定承担违约责任</w:t>
      </w:r>
      <w:r>
        <w:rPr>
          <w:rFonts w:hint="eastAsia" w:asciiTheme="minorEastAsia" w:hAnsiTheme="minorEastAsia"/>
          <w:sz w:val="24"/>
        </w:rPr>
        <w:t>。</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6</w:t>
      </w:r>
      <w:r>
        <w:rPr>
          <w:rFonts w:asciiTheme="minorEastAsia" w:hAnsiTheme="minorEastAsia"/>
          <w:sz w:val="24"/>
        </w:rPr>
        <w:t>.2</w:t>
      </w:r>
      <w:r>
        <w:rPr>
          <w:rFonts w:hint="eastAsia" w:asciiTheme="minorEastAsia" w:hAnsiTheme="minorEastAsia"/>
          <w:kern w:val="28"/>
          <w:sz w:val="24"/>
        </w:rPr>
        <w:t>在本合同期内，若乙方不具备履行本合同所必须的全部资质或许可，或未经甲方同意将代理权转让给第三方经纪机构或委托分销，</w:t>
      </w:r>
      <w:r>
        <w:rPr>
          <w:rFonts w:hint="eastAsia" w:asciiTheme="minorEastAsia" w:hAnsiTheme="minorEastAsia"/>
          <w:sz w:val="24"/>
        </w:rPr>
        <w:t>或超越代理范围对外销售，或违反甲方规定对外作出不实宣传，或在未征得甲方同意的情况下对客户作出任何形式的承诺，或乙方存在其他根本违约的情形，经双方调查情况属实，甲方有权单方面解除本合同，乙方应按照6.5</w:t>
      </w:r>
      <w:r>
        <w:rPr>
          <w:rFonts w:asciiTheme="minorEastAsia" w:hAnsiTheme="minorEastAsia"/>
          <w:sz w:val="24"/>
        </w:rPr>
        <w:t>的约定承担违约责任</w:t>
      </w:r>
      <w:r>
        <w:rPr>
          <w:rFonts w:hint="eastAsia" w:asciiTheme="minorEastAsia" w:hAnsiTheme="minorEastAsia"/>
          <w:sz w:val="24"/>
        </w:rPr>
        <w:t>。</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6.3</w:t>
      </w:r>
      <w:r>
        <w:rPr>
          <w:rFonts w:hint="eastAsia" w:asciiTheme="minorEastAsia" w:hAnsiTheme="minorEastAsia"/>
          <w:sz w:val="24"/>
        </w:rPr>
        <w:t>如</w:t>
      </w:r>
      <w:r>
        <w:rPr>
          <w:rFonts w:asciiTheme="minorEastAsia" w:hAnsiTheme="minorEastAsia"/>
          <w:sz w:val="24"/>
        </w:rPr>
        <w:t>乙方或乙方销售代理人员</w:t>
      </w:r>
      <w:r>
        <w:rPr>
          <w:rFonts w:hint="eastAsia" w:asciiTheme="minorEastAsia" w:hAnsiTheme="minorEastAsia"/>
          <w:sz w:val="24"/>
        </w:rPr>
        <w:t>违反本合同</w:t>
      </w:r>
      <w:r>
        <w:rPr>
          <w:rFonts w:asciiTheme="minorEastAsia" w:hAnsiTheme="minorEastAsia"/>
          <w:sz w:val="24"/>
        </w:rPr>
        <w:t>4.3.</w:t>
      </w:r>
      <w:r>
        <w:rPr>
          <w:rFonts w:hint="eastAsia" w:asciiTheme="minorEastAsia" w:hAnsiTheme="minorEastAsia"/>
          <w:sz w:val="24"/>
        </w:rPr>
        <w:t>3</w:t>
      </w:r>
      <w:r>
        <w:rPr>
          <w:rFonts w:asciiTheme="minorEastAsia" w:hAnsiTheme="minorEastAsia"/>
          <w:sz w:val="24"/>
        </w:rPr>
        <w:t>.</w:t>
      </w:r>
      <w:r>
        <w:rPr>
          <w:rFonts w:hint="eastAsia" w:asciiTheme="minorEastAsia" w:hAnsiTheme="minorEastAsia"/>
          <w:sz w:val="24"/>
        </w:rPr>
        <w:t>5</w:t>
      </w:r>
      <w:r>
        <w:rPr>
          <w:rFonts w:asciiTheme="minorEastAsia" w:hAnsiTheme="minorEastAsia"/>
          <w:sz w:val="24"/>
        </w:rPr>
        <w:t>/4.4.2/4.4.3/4.4.9条的约定，经甲方查实，</w:t>
      </w:r>
      <w:r>
        <w:rPr>
          <w:rFonts w:hint="eastAsia" w:asciiTheme="minorEastAsia" w:hAnsiTheme="minorEastAsia"/>
          <w:sz w:val="24"/>
        </w:rPr>
        <w:t>乙</w:t>
      </w:r>
      <w:r>
        <w:rPr>
          <w:rFonts w:asciiTheme="minorEastAsia" w:hAnsiTheme="minorEastAsia"/>
          <w:sz w:val="24"/>
        </w:rPr>
        <w:t>方向</w:t>
      </w:r>
      <w:r>
        <w:rPr>
          <w:rFonts w:hint="eastAsia" w:asciiTheme="minorEastAsia" w:hAnsiTheme="minorEastAsia"/>
          <w:sz w:val="24"/>
        </w:rPr>
        <w:t>甲</w:t>
      </w:r>
      <w:r>
        <w:rPr>
          <w:rFonts w:asciiTheme="minorEastAsia" w:hAnsiTheme="minorEastAsia"/>
          <w:sz w:val="24"/>
        </w:rPr>
        <w:t>方</w:t>
      </w:r>
      <w:r>
        <w:rPr>
          <w:rFonts w:hint="eastAsia" w:asciiTheme="minorEastAsia" w:hAnsiTheme="minorEastAsia"/>
          <w:sz w:val="24"/>
        </w:rPr>
        <w:t>支付人</w:t>
      </w:r>
      <w:r>
        <w:rPr>
          <w:rFonts w:asciiTheme="minorEastAsia" w:hAnsiTheme="minorEastAsia"/>
          <w:sz w:val="24"/>
        </w:rPr>
        <w:t>民币</w:t>
      </w:r>
      <w:r>
        <w:rPr>
          <w:rFonts w:hint="eastAsia" w:asciiTheme="minorEastAsia" w:hAnsiTheme="minorEastAsia"/>
          <w:sz w:val="24"/>
        </w:rPr>
        <w:t>叁拾万元</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300,000</w:t>
      </w:r>
      <w:r>
        <w:rPr>
          <w:rFonts w:hint="eastAsia" w:asciiTheme="minorEastAsia" w:hAnsiTheme="minorEastAsia"/>
          <w:sz w:val="24"/>
        </w:rPr>
        <w:t>元）作为违约金且</w:t>
      </w:r>
      <w:r>
        <w:rPr>
          <w:rFonts w:asciiTheme="minorEastAsia" w:hAnsiTheme="minorEastAsia"/>
          <w:sz w:val="24"/>
        </w:rPr>
        <w:t>甲方</w:t>
      </w:r>
      <w:r>
        <w:rPr>
          <w:rFonts w:hint="eastAsia" w:asciiTheme="minorEastAsia" w:hAnsiTheme="minorEastAsia"/>
          <w:sz w:val="24"/>
        </w:rPr>
        <w:t>有权</w:t>
      </w:r>
      <w:r>
        <w:rPr>
          <w:rFonts w:asciiTheme="minorEastAsia" w:hAnsiTheme="minorEastAsia"/>
          <w:sz w:val="24"/>
        </w:rPr>
        <w:t>从应付代理</w:t>
      </w:r>
      <w:r>
        <w:rPr>
          <w:rFonts w:hint="eastAsia" w:asciiTheme="minorEastAsia" w:hAnsiTheme="minorEastAsia"/>
          <w:sz w:val="24"/>
        </w:rPr>
        <w:t>费</w:t>
      </w:r>
      <w:r>
        <w:rPr>
          <w:rFonts w:asciiTheme="minorEastAsia" w:hAnsiTheme="minorEastAsia"/>
          <w:sz w:val="24"/>
        </w:rPr>
        <w:t>中予以扣除，</w:t>
      </w:r>
      <w:r>
        <w:rPr>
          <w:rFonts w:hint="eastAsia" w:asciiTheme="minorEastAsia" w:hAnsiTheme="minorEastAsia"/>
          <w:sz w:val="24"/>
        </w:rPr>
        <w:t>不足抵扣</w:t>
      </w:r>
      <w:r>
        <w:rPr>
          <w:rFonts w:asciiTheme="minorEastAsia" w:hAnsiTheme="minorEastAsia"/>
          <w:sz w:val="24"/>
        </w:rPr>
        <w:t>的，</w:t>
      </w:r>
      <w:r>
        <w:rPr>
          <w:rFonts w:hint="eastAsia" w:asciiTheme="minorEastAsia" w:hAnsiTheme="minorEastAsia"/>
          <w:sz w:val="24"/>
        </w:rPr>
        <w:t>乙</w:t>
      </w:r>
      <w:r>
        <w:rPr>
          <w:rFonts w:asciiTheme="minorEastAsia" w:hAnsiTheme="minorEastAsia"/>
          <w:sz w:val="24"/>
        </w:rPr>
        <w:t>方</w:t>
      </w:r>
      <w:r>
        <w:rPr>
          <w:rFonts w:hint="eastAsia" w:asciiTheme="minorEastAsia" w:hAnsiTheme="minorEastAsia"/>
          <w:sz w:val="24"/>
        </w:rPr>
        <w:t>须足额支付；</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发</w:t>
      </w:r>
      <w:r>
        <w:rPr>
          <w:rFonts w:asciiTheme="minorEastAsia" w:hAnsiTheme="minorEastAsia"/>
          <w:sz w:val="24"/>
        </w:rPr>
        <w:t>生上述</w:t>
      </w:r>
      <w:r>
        <w:rPr>
          <w:rFonts w:hint="eastAsia" w:asciiTheme="minorEastAsia" w:hAnsiTheme="minorEastAsia"/>
          <w:sz w:val="24"/>
        </w:rPr>
        <w:t>6.1至6.3条的</w:t>
      </w:r>
      <w:r>
        <w:rPr>
          <w:rFonts w:asciiTheme="minorEastAsia" w:hAnsiTheme="minorEastAsia"/>
          <w:sz w:val="24"/>
        </w:rPr>
        <w:t>情形，</w:t>
      </w:r>
      <w:r>
        <w:rPr>
          <w:rFonts w:hint="eastAsia" w:asciiTheme="minorEastAsia" w:hAnsiTheme="minorEastAsia"/>
          <w:sz w:val="24"/>
        </w:rPr>
        <w:t>导致</w:t>
      </w:r>
      <w:r>
        <w:rPr>
          <w:rFonts w:asciiTheme="minorEastAsia" w:hAnsiTheme="minorEastAsia"/>
          <w:sz w:val="24"/>
        </w:rPr>
        <w:t>甲方</w:t>
      </w:r>
      <w:r>
        <w:rPr>
          <w:rFonts w:hint="eastAsia" w:asciiTheme="minorEastAsia" w:hAnsiTheme="minorEastAsia"/>
          <w:sz w:val="24"/>
        </w:rPr>
        <w:t>被任何第三人追究责任，或甲方</w:t>
      </w:r>
      <w:r>
        <w:rPr>
          <w:rFonts w:asciiTheme="minorEastAsia" w:hAnsiTheme="minorEastAsia"/>
          <w:sz w:val="24"/>
        </w:rPr>
        <w:t>通</w:t>
      </w:r>
      <w:r>
        <w:rPr>
          <w:rFonts w:hint="eastAsia" w:asciiTheme="minorEastAsia" w:hAnsiTheme="minorEastAsia"/>
          <w:sz w:val="24"/>
        </w:rPr>
        <w:t>过</w:t>
      </w:r>
      <w:r>
        <w:rPr>
          <w:rFonts w:asciiTheme="minorEastAsia" w:hAnsiTheme="minorEastAsia"/>
          <w:sz w:val="24"/>
        </w:rPr>
        <w:t>诉讼</w:t>
      </w:r>
      <w:r>
        <w:rPr>
          <w:rFonts w:hint="eastAsia" w:asciiTheme="minorEastAsia" w:hAnsiTheme="minorEastAsia"/>
          <w:sz w:val="24"/>
        </w:rPr>
        <w:t>途径</w:t>
      </w:r>
      <w:r>
        <w:rPr>
          <w:rFonts w:asciiTheme="minorEastAsia" w:hAnsiTheme="minorEastAsia"/>
          <w:sz w:val="24"/>
        </w:rPr>
        <w:t>追究乙方责任时，乙方</w:t>
      </w:r>
      <w:r>
        <w:rPr>
          <w:rFonts w:hint="eastAsia" w:asciiTheme="minorEastAsia" w:hAnsiTheme="minorEastAsia"/>
          <w:sz w:val="24"/>
        </w:rPr>
        <w:t>因承担甲</w:t>
      </w:r>
      <w:r>
        <w:rPr>
          <w:rFonts w:asciiTheme="minorEastAsia" w:hAnsiTheme="minorEastAsia"/>
          <w:sz w:val="24"/>
        </w:rPr>
        <w:t>方维权</w:t>
      </w:r>
      <w:r>
        <w:rPr>
          <w:rFonts w:hint="eastAsia" w:asciiTheme="minorEastAsia" w:hAnsiTheme="minorEastAsia"/>
          <w:sz w:val="24"/>
        </w:rPr>
        <w:t>产生</w:t>
      </w:r>
      <w:r>
        <w:rPr>
          <w:rFonts w:asciiTheme="minorEastAsia" w:hAnsiTheme="minorEastAsia"/>
          <w:sz w:val="24"/>
        </w:rPr>
        <w:t>的</w:t>
      </w:r>
      <w:r>
        <w:rPr>
          <w:rFonts w:hint="eastAsia" w:asciiTheme="minorEastAsia" w:hAnsiTheme="minorEastAsia"/>
          <w:sz w:val="24"/>
        </w:rPr>
        <w:t>全部费用，包括但不限于</w:t>
      </w:r>
      <w:r>
        <w:rPr>
          <w:rFonts w:asciiTheme="minorEastAsia" w:hAnsiTheme="minorEastAsia"/>
          <w:sz w:val="24"/>
        </w:rPr>
        <w:t>诉讼费、</w:t>
      </w:r>
      <w:r>
        <w:rPr>
          <w:rFonts w:hint="eastAsia" w:asciiTheme="minorEastAsia" w:hAnsiTheme="minorEastAsia"/>
          <w:sz w:val="24"/>
        </w:rPr>
        <w:t>保全费、</w:t>
      </w:r>
      <w:r>
        <w:rPr>
          <w:rFonts w:asciiTheme="minorEastAsia" w:hAnsiTheme="minorEastAsia"/>
          <w:sz w:val="24"/>
        </w:rPr>
        <w:t>律师</w:t>
      </w:r>
      <w:r>
        <w:rPr>
          <w:rFonts w:hint="eastAsia" w:asciiTheme="minorEastAsia" w:hAnsiTheme="minorEastAsia"/>
          <w:sz w:val="24"/>
        </w:rPr>
        <w:t>代理</w:t>
      </w:r>
      <w:r>
        <w:rPr>
          <w:rFonts w:asciiTheme="minorEastAsia" w:hAnsiTheme="minorEastAsia"/>
          <w:sz w:val="24"/>
        </w:rPr>
        <w:t>费、交通费</w:t>
      </w:r>
      <w:r>
        <w:rPr>
          <w:rFonts w:hint="eastAsia" w:asciiTheme="minorEastAsia" w:hAnsiTheme="minorEastAsia"/>
          <w:sz w:val="24"/>
        </w:rPr>
        <w:t>、差旅费等以及其它任何有关的开支和费用等</w:t>
      </w:r>
      <w:r>
        <w:rPr>
          <w:rFonts w:asciiTheme="minorEastAsia" w:hAnsiTheme="minorEastAsia"/>
          <w:sz w:val="24"/>
        </w:rPr>
        <w:t>。</w:t>
      </w:r>
    </w:p>
    <w:p>
      <w:pPr>
        <w:spacing w:after="156" w:afterLines="50" w:line="400" w:lineRule="exact"/>
        <w:ind w:firstLine="480" w:firstLineChars="200"/>
        <w:jc w:val="left"/>
        <w:rPr>
          <w:rFonts w:hint="eastAsia" w:asciiTheme="minorEastAsia" w:hAnsiTheme="minorEastAsia"/>
          <w:sz w:val="24"/>
        </w:rPr>
      </w:pPr>
      <w:r>
        <w:rPr>
          <w:rFonts w:hint="eastAsia" w:asciiTheme="minorEastAsia" w:hAnsiTheme="minorEastAsia"/>
          <w:sz w:val="24"/>
        </w:rPr>
        <w:t>6</w:t>
      </w:r>
      <w:r>
        <w:rPr>
          <w:rFonts w:asciiTheme="minorEastAsia" w:hAnsiTheme="minorEastAsia"/>
          <w:sz w:val="24"/>
        </w:rPr>
        <w:t>.4</w:t>
      </w:r>
      <w:r>
        <w:rPr>
          <w:rFonts w:hint="eastAsia" w:asciiTheme="minorEastAsia" w:hAnsiTheme="minorEastAsia"/>
          <w:sz w:val="24"/>
        </w:rPr>
        <w:t xml:space="preserve"> 如销售代理公司发生本合同约定的违约行为，销售代理公司需按有关约定向甲方支付违约金、赔偿金，甲方将就该等违约金、赔偿金向销售代理公司开具收据。如销售代理公司不按有关约定向甲方支付违约金、赔偿金，则甲方有权从</w:t>
      </w:r>
      <w:r>
        <w:rPr>
          <w:rFonts w:asciiTheme="minorEastAsia" w:hAnsiTheme="minorEastAsia"/>
          <w:sz w:val="24"/>
        </w:rPr>
        <w:t>应付代理</w:t>
      </w:r>
      <w:r>
        <w:rPr>
          <w:rFonts w:hint="eastAsia" w:asciiTheme="minorEastAsia" w:hAnsiTheme="minorEastAsia"/>
          <w:sz w:val="24"/>
        </w:rPr>
        <w:t>费</w:t>
      </w:r>
      <w:r>
        <w:rPr>
          <w:rFonts w:asciiTheme="minorEastAsia" w:hAnsiTheme="minorEastAsia"/>
          <w:sz w:val="24"/>
        </w:rPr>
        <w:t>中予以扣除，</w:t>
      </w:r>
      <w:r>
        <w:rPr>
          <w:rFonts w:hint="eastAsia" w:asciiTheme="minorEastAsia" w:hAnsiTheme="minorEastAsia"/>
          <w:sz w:val="24"/>
        </w:rPr>
        <w:t>不足抵扣</w:t>
      </w:r>
      <w:r>
        <w:rPr>
          <w:rFonts w:asciiTheme="minorEastAsia" w:hAnsiTheme="minorEastAsia"/>
          <w:sz w:val="24"/>
        </w:rPr>
        <w:t>的，</w:t>
      </w:r>
      <w:r>
        <w:rPr>
          <w:rFonts w:hint="eastAsia" w:asciiTheme="minorEastAsia" w:hAnsiTheme="minorEastAsia"/>
          <w:sz w:val="24"/>
        </w:rPr>
        <w:t>乙</w:t>
      </w:r>
      <w:r>
        <w:rPr>
          <w:rFonts w:asciiTheme="minorEastAsia" w:hAnsiTheme="minorEastAsia"/>
          <w:sz w:val="24"/>
        </w:rPr>
        <w:t>方</w:t>
      </w:r>
      <w:r>
        <w:rPr>
          <w:rFonts w:hint="eastAsia" w:asciiTheme="minorEastAsia" w:hAnsiTheme="minorEastAsia"/>
          <w:sz w:val="24"/>
        </w:rPr>
        <w:t>须足额支付</w:t>
      </w:r>
      <w:r>
        <w:rPr>
          <w:rFonts w:hint="eastAsia" w:asciiTheme="minorEastAsia" w:hAnsiTheme="minorEastAsia"/>
          <w:sz w:val="24"/>
          <w:highlight w:val="none"/>
        </w:rPr>
        <w:t>，销售代理公司</w:t>
      </w:r>
      <w:r>
        <w:rPr>
          <w:rFonts w:hint="eastAsia" w:asciiTheme="minorEastAsia" w:hAnsiTheme="minorEastAsia"/>
          <w:sz w:val="24"/>
        </w:rPr>
        <w:t>仍应按</w:t>
      </w:r>
      <w:r>
        <w:rPr>
          <w:rFonts w:hint="eastAsia" w:asciiTheme="minorEastAsia" w:hAnsiTheme="minorEastAsia"/>
          <w:sz w:val="24"/>
          <w:highlight w:val="none"/>
        </w:rPr>
        <w:t>应发代理费</w:t>
      </w:r>
      <w:r>
        <w:rPr>
          <w:rFonts w:hint="eastAsia" w:asciiTheme="minorEastAsia" w:hAnsiTheme="minorEastAsia"/>
          <w:sz w:val="24"/>
        </w:rPr>
        <w:t>向</w:t>
      </w:r>
      <w:r>
        <w:rPr>
          <w:rFonts w:hint="eastAsia" w:asciiTheme="minorEastAsia" w:hAnsiTheme="minorEastAsia"/>
          <w:sz w:val="24"/>
          <w:highlight w:val="none"/>
        </w:rPr>
        <w:t>甲方</w:t>
      </w:r>
      <w:r>
        <w:rPr>
          <w:rFonts w:hint="eastAsia" w:asciiTheme="minorEastAsia" w:hAnsiTheme="minorEastAsia"/>
          <w:sz w:val="24"/>
        </w:rPr>
        <w:t>开具增值税专用发票（即不能扣减违约金、赔偿金金额），</w:t>
      </w:r>
      <w:r>
        <w:rPr>
          <w:rFonts w:hint="eastAsia" w:asciiTheme="minorEastAsia" w:hAnsiTheme="minorEastAsia"/>
          <w:sz w:val="24"/>
          <w:highlight w:val="none"/>
        </w:rPr>
        <w:t>甲方</w:t>
      </w:r>
      <w:r>
        <w:rPr>
          <w:rFonts w:hint="eastAsia" w:asciiTheme="minorEastAsia" w:hAnsiTheme="minorEastAsia"/>
          <w:sz w:val="24"/>
        </w:rPr>
        <w:t>将就该等违约金、赔偿金向</w:t>
      </w:r>
      <w:r>
        <w:rPr>
          <w:rFonts w:hint="eastAsia" w:asciiTheme="minorEastAsia" w:hAnsiTheme="minorEastAsia"/>
          <w:sz w:val="24"/>
          <w:highlight w:val="none"/>
        </w:rPr>
        <w:t>销售代理公司</w:t>
      </w:r>
      <w:r>
        <w:rPr>
          <w:rFonts w:hint="eastAsia" w:asciiTheme="minorEastAsia" w:hAnsiTheme="minorEastAsia"/>
          <w:sz w:val="24"/>
        </w:rPr>
        <w:t>开具收据。</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6.5 </w:t>
      </w:r>
      <w:r>
        <w:rPr>
          <w:rFonts w:hint="eastAsia" w:asciiTheme="minorEastAsia" w:hAnsiTheme="minorEastAsia"/>
          <w:sz w:val="24"/>
        </w:rPr>
        <w:t>甲方违反本合同约定未能按时支付乙方代理费及本合同约定的其它费用的，甲方应以全部未付金额为基数，每日向乙方支付该基数万分之五的金额作为迟延履行违约金。如甲方迟延履行超过六十日，乙方有权单方面解除本合同。如乙方书面通知甲方终止本合同的，对于合同终止前，乙方已完成部分之工作，甲方仍需按本合同约定向乙方支付代理费。</w:t>
      </w:r>
    </w:p>
    <w:p>
      <w:pPr>
        <w:spacing w:after="156" w:afterLines="50" w:line="400" w:lineRule="exact"/>
        <w:ind w:firstLine="480" w:firstLineChars="200"/>
        <w:jc w:val="left"/>
        <w:rPr>
          <w:rFonts w:asciiTheme="minorEastAsia" w:hAnsiTheme="minorEastAsia"/>
          <w:sz w:val="24"/>
        </w:rPr>
      </w:pPr>
      <w:r>
        <w:rPr>
          <w:rFonts w:asciiTheme="minorEastAsia" w:hAnsiTheme="minorEastAsia"/>
          <w:sz w:val="24"/>
        </w:rPr>
        <w:t xml:space="preserve">6.6 </w:t>
      </w:r>
      <w:r>
        <w:rPr>
          <w:rFonts w:hint="eastAsia" w:asciiTheme="minorEastAsia" w:hAnsiTheme="minorEastAsia"/>
          <w:sz w:val="24"/>
        </w:rPr>
        <w:t>本合同履行过程中，所有条款双方均应严格遵照执行。除本合同另有约定外，任何一方出现单方无故终止或解除合同、根本违约致使本合同无法继续履行及其他导致本合同解除等违约事项，或守约方根据合同约定行使单方解除权的，则违约方应向守约方支付人民币</w:t>
      </w:r>
      <w:r>
        <w:rPr>
          <w:rFonts w:asciiTheme="minorEastAsia" w:hAnsiTheme="minorEastAsia"/>
          <w:color w:val="000000" w:themeColor="text1"/>
          <w:sz w:val="24"/>
          <w14:textFill>
            <w14:solidFill>
              <w14:schemeClr w14:val="tx1"/>
            </w14:solidFill>
          </w14:textFill>
        </w:rPr>
        <w:t>30</w:t>
      </w:r>
      <w:r>
        <w:rPr>
          <w:rFonts w:hint="eastAsia" w:asciiTheme="minorEastAsia" w:hAnsiTheme="minorEastAsia"/>
          <w:sz w:val="24"/>
        </w:rPr>
        <w:t>万元或支付本合同累计已结算销售代理费的</w:t>
      </w:r>
      <w:r>
        <w:rPr>
          <w:rFonts w:asciiTheme="minorEastAsia" w:hAnsiTheme="minorEastAsia"/>
          <w:sz w:val="24"/>
        </w:rPr>
        <w:t>20%（采取金额较高的一种方式）作为违约金，未结算的代理费不再支付</w:t>
      </w:r>
      <w:r>
        <w:rPr>
          <w:rFonts w:hint="eastAsia" w:asciiTheme="minorEastAsia" w:hAnsiTheme="minorEastAsia"/>
          <w:sz w:val="24"/>
        </w:rPr>
        <w:t>。如违约金不足以弥补由此对守约方造成的损失（包括实质或商誉上的损失），违约方还应另行赔偿由此对守约方造成的损失。</w:t>
      </w:r>
    </w:p>
    <w:p>
      <w:pPr>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6.</w:t>
      </w:r>
      <w:r>
        <w:rPr>
          <w:rFonts w:asciiTheme="minorEastAsia" w:hAnsiTheme="minorEastAsia"/>
          <w:sz w:val="24"/>
        </w:rPr>
        <w:t>7</w:t>
      </w:r>
      <w:r>
        <w:rPr>
          <w:rFonts w:hint="eastAsia" w:asciiTheme="minorEastAsia" w:hAnsiTheme="minorEastAsia"/>
          <w:sz w:val="24"/>
        </w:rPr>
        <w:t xml:space="preserve">  在本合同履行过程中，发生不可抗力影响有关条款之执行的，受影响一方应当及时书面通知对方，以减轻可能给对方造成的损失，并应当在合理期限内提供证明。因不可抗力而影响有关条款履行的不视为违约。</w:t>
      </w:r>
    </w:p>
    <w:p>
      <w:pPr>
        <w:snapToGrid w:val="0"/>
        <w:spacing w:after="156" w:afterLines="50" w:line="400" w:lineRule="exact"/>
        <w:ind w:firstLine="480" w:firstLineChars="200"/>
        <w:jc w:val="left"/>
        <w:rPr>
          <w:rFonts w:asciiTheme="minorEastAsia" w:hAnsiTheme="minorEastAsia"/>
          <w:sz w:val="24"/>
        </w:rPr>
      </w:pPr>
      <w:r>
        <w:rPr>
          <w:rFonts w:asciiTheme="minorEastAsia" w:hAnsiTheme="minorEastAsia"/>
          <w:sz w:val="24"/>
        </w:rPr>
        <w:t>6.8乙方未经甲方代表书面确认同意，乙方就擅自进行有关销售认购、促销折扣、在媒体上宣传该项目、销售承诺、客户资料挪用等损害甲方利益的行为造成甲方直接或间接经济损失的，及乙方出现本合同之违规行为造成甲方直接或间接经济损失时，均视为乙方违约，因此而产生的法律责任和经济损失与纠纷，概由乙方承担；甲方依法须向客户承担赔偿等责任的，甲方有权向乙方追偿，甲方不承担由此产生的任何直接或连带责任。</w:t>
      </w:r>
    </w:p>
    <w:p>
      <w:pPr>
        <w:widowControl/>
        <w:snapToGrid w:val="0"/>
        <w:spacing w:after="156" w:afterLines="50" w:line="400" w:lineRule="exact"/>
        <w:ind w:firstLine="482" w:firstLineChars="200"/>
        <w:jc w:val="left"/>
        <w:rPr>
          <w:rFonts w:asciiTheme="minorEastAsia" w:hAnsiTheme="minorEastAsia"/>
          <w:b/>
          <w:kern w:val="28"/>
          <w:sz w:val="24"/>
        </w:rPr>
      </w:pPr>
      <w:r>
        <w:rPr>
          <w:rFonts w:hint="eastAsia" w:asciiTheme="minorEastAsia" w:hAnsiTheme="minorEastAsia"/>
          <w:b/>
          <w:kern w:val="28"/>
          <w:sz w:val="24"/>
        </w:rPr>
        <w:t>7 保密条款</w:t>
      </w:r>
    </w:p>
    <w:p>
      <w:pPr>
        <w:widowControl/>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kern w:val="28"/>
          <w:sz w:val="24"/>
        </w:rPr>
        <w:t>7.1</w:t>
      </w:r>
      <w:r>
        <w:rPr>
          <w:rFonts w:hint="eastAsia" w:asciiTheme="minorEastAsia" w:hAnsiTheme="minorEastAsia"/>
          <w:sz w:val="24"/>
        </w:rPr>
        <w:t>甲、乙双方同意无论甲方向乙方提供的有关信息情报、资料、合同或乙方向甲方提交的咨询报告及相关条件，均是商业机密文件，应当严格予以保密，不得在未获得对方书面认可的情况下，以任何形式（包括口头和书面）将前述资料和信息直接或间接透露或出示给第三方。甲、乙双方均仅限于将该等商业资料或信息透露给与本合同履行直接有关的工作人员，且均需告知有关人员此项保密义务。</w:t>
      </w:r>
    </w:p>
    <w:p>
      <w:pPr>
        <w:widowControl/>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7.2未经甲方同意，乙方不得以任何一种形式（包括口头和书面）向第三方提供任何与该项目有关的市场、销售、推广企划等成本费用、策略和执行的细节。</w:t>
      </w:r>
    </w:p>
    <w:p>
      <w:pPr>
        <w:widowControl/>
        <w:snapToGrid w:val="0"/>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7.3本合同解除或终止后，双方应返还对方的机密资料，不能返还的予以销毁或删除。</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7.4如乙方未能履行上述保密义务，泄露甲方的商业秘密的，甲方有权解除本合同。因此对甲方造成的损失，由乙方承担全部赔偿责任。</w:t>
      </w:r>
    </w:p>
    <w:p>
      <w:pPr>
        <w:spacing w:after="156" w:afterLines="50" w:line="400" w:lineRule="exact"/>
        <w:ind w:firstLine="482" w:firstLineChars="200"/>
        <w:jc w:val="left"/>
        <w:rPr>
          <w:rFonts w:asciiTheme="minorEastAsia" w:hAnsiTheme="minorEastAsia"/>
          <w:b/>
          <w:kern w:val="28"/>
          <w:sz w:val="24"/>
        </w:rPr>
      </w:pPr>
    </w:p>
    <w:p>
      <w:pPr>
        <w:spacing w:after="156" w:afterLines="50" w:line="400" w:lineRule="exact"/>
        <w:ind w:firstLine="482" w:firstLineChars="200"/>
        <w:jc w:val="left"/>
        <w:rPr>
          <w:rFonts w:asciiTheme="minorEastAsia" w:hAnsiTheme="minorEastAsia"/>
        </w:rPr>
      </w:pPr>
      <w:r>
        <w:rPr>
          <w:rFonts w:hint="eastAsia" w:asciiTheme="minorEastAsia" w:hAnsiTheme="minorEastAsia"/>
          <w:b/>
          <w:kern w:val="28"/>
          <w:sz w:val="24"/>
        </w:rPr>
        <w:t>8 廉洁履约条款</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asciiTheme="minorEastAsia" w:hAnsiTheme="minorEastAsia"/>
          <w:kern w:val="28"/>
          <w:sz w:val="24"/>
          <w:szCs w:val="24"/>
        </w:rPr>
        <w:t>8.1</w:t>
      </w:r>
      <w:r>
        <w:rPr>
          <w:rFonts w:hint="eastAsia" w:cs="宋体" w:asciiTheme="minorEastAsia" w:hAnsiTheme="minorEastAsia"/>
          <w:sz w:val="24"/>
          <w:szCs w:val="24"/>
        </w:rPr>
        <w:t>甲方作为凯德集团成员致力于以商业道德为原则经营业务，并要求所有甲方雇员和与甲方有合同关系的当事人以高标准商业道德规范约束自身，及遵守适用的禁止腐败行为的法律（“反腐败法律”）。</w:t>
      </w:r>
    </w:p>
    <w:p>
      <w:pPr>
        <w:spacing w:after="156" w:afterLines="50" w:line="400" w:lineRule="exact"/>
        <w:ind w:firstLine="480" w:firstLineChars="200"/>
        <w:jc w:val="left"/>
        <w:textAlignment w:val="baseline"/>
        <w:rPr>
          <w:rFonts w:cs="宋体" w:asciiTheme="minorEastAsia" w:hAnsiTheme="minorEastAsia"/>
          <w:sz w:val="24"/>
          <w:szCs w:val="24"/>
        </w:rPr>
      </w:pPr>
      <w:r>
        <w:rPr>
          <w:rFonts w:cs="宋体" w:asciiTheme="minorEastAsia" w:hAnsiTheme="minorEastAsia"/>
          <w:sz w:val="24"/>
          <w:szCs w:val="24"/>
        </w:rPr>
        <w:t>8.</w:t>
      </w:r>
      <w:r>
        <w:rPr>
          <w:rFonts w:hint="eastAsia" w:cs="宋体" w:asciiTheme="minorEastAsia" w:hAnsiTheme="minorEastAsia"/>
          <w:sz w:val="24"/>
          <w:szCs w:val="24"/>
        </w:rPr>
        <w:t>2乙方陈述并保证，尽其所知，无论其本身或以任何身份代理/代表乙方履行本合同或行事之人（包括但不限于乙方之雇员、代理人、关联公司和分包商）（统称为</w:t>
      </w:r>
      <w:r>
        <w:rPr>
          <w:rFonts w:cs="宋体" w:asciiTheme="minorEastAsia" w:hAnsiTheme="minorEastAsia"/>
          <w:sz w:val="24"/>
          <w:szCs w:val="24"/>
        </w:rPr>
        <w:t>“</w:t>
      </w:r>
      <w:r>
        <w:rPr>
          <w:rFonts w:hint="eastAsia" w:cs="宋体" w:asciiTheme="minorEastAsia" w:hAnsiTheme="minorEastAsia"/>
          <w:sz w:val="24"/>
          <w:szCs w:val="24"/>
        </w:rPr>
        <w:t>乙方代表</w:t>
      </w:r>
      <w:r>
        <w:rPr>
          <w:rFonts w:cs="宋体" w:asciiTheme="minorEastAsia" w:hAnsiTheme="minorEastAsia"/>
          <w:sz w:val="24"/>
          <w:szCs w:val="24"/>
        </w:rPr>
        <w:t>”</w:t>
      </w:r>
      <w:r>
        <w:rPr>
          <w:rFonts w:hint="eastAsia" w:cs="宋体" w:asciiTheme="minorEastAsia" w:hAnsiTheme="minorEastAsia"/>
          <w:sz w:val="24"/>
          <w:szCs w:val="24"/>
        </w:rPr>
        <w:t>），均未违反，亦未促使或鼓励第三方（为免歧义，包括甲方雇员或任何代理</w:t>
      </w:r>
      <w:r>
        <w:rPr>
          <w:rFonts w:cs="宋体" w:asciiTheme="minorEastAsia" w:hAnsiTheme="minorEastAsia"/>
          <w:sz w:val="24"/>
          <w:szCs w:val="24"/>
        </w:rPr>
        <w:t>/</w:t>
      </w:r>
      <w:r>
        <w:rPr>
          <w:rFonts w:hint="eastAsia" w:cs="宋体" w:asciiTheme="minorEastAsia" w:hAnsiTheme="minorEastAsia"/>
          <w:sz w:val="24"/>
          <w:szCs w:val="24"/>
        </w:rPr>
        <w:t>代表甲方行事之人）就本合同或所涉事宜违反任何反腐败法律。</w:t>
      </w:r>
    </w:p>
    <w:p>
      <w:pPr>
        <w:spacing w:after="156" w:afterLines="50" w:line="400" w:lineRule="exact"/>
        <w:ind w:firstLine="480" w:firstLineChars="200"/>
        <w:jc w:val="left"/>
        <w:textAlignment w:val="baseline"/>
        <w:rPr>
          <w:rFonts w:cs="宋体" w:asciiTheme="minorEastAsia" w:hAnsiTheme="minorEastAsia"/>
          <w:sz w:val="24"/>
          <w:szCs w:val="24"/>
        </w:rPr>
      </w:pPr>
      <w:r>
        <w:rPr>
          <w:rFonts w:cs="宋体" w:asciiTheme="minorEastAsia" w:hAnsiTheme="minorEastAsia"/>
          <w:sz w:val="24"/>
          <w:szCs w:val="24"/>
        </w:rPr>
        <w:t>8.</w:t>
      </w:r>
      <w:r>
        <w:rPr>
          <w:rFonts w:hint="eastAsia" w:cs="宋体" w:asciiTheme="minorEastAsia" w:hAnsiTheme="minorEastAsia"/>
          <w:sz w:val="24"/>
          <w:szCs w:val="24"/>
        </w:rPr>
        <w:t>3如任何甲方雇员或代理</w:t>
      </w:r>
      <w:r>
        <w:rPr>
          <w:rFonts w:cs="宋体" w:asciiTheme="minorEastAsia" w:hAnsiTheme="minorEastAsia"/>
          <w:sz w:val="24"/>
          <w:szCs w:val="24"/>
        </w:rPr>
        <w:t>/</w:t>
      </w:r>
      <w:r>
        <w:rPr>
          <w:rFonts w:hint="eastAsia" w:cs="宋体" w:asciiTheme="minorEastAsia" w:hAnsiTheme="minorEastAsia"/>
          <w:sz w:val="24"/>
          <w:szCs w:val="24"/>
        </w:rPr>
        <w:t>代表甲方行事之人或任何乙方代表就本合同或所涉事宜已违反或试图违反任何反腐败法律，乙方应立即通知甲方，并采取足够措施保护甲乙双方的利益。所有此类通知应按以下邮箱地址发送至凯德集团内部审计部负责人：【</w:t>
      </w:r>
      <w:r>
        <w:fldChar w:fldCharType="begin"/>
      </w:r>
      <w:r>
        <w:instrText xml:space="preserve"> HYPERLINK "mailto:Whistleblowing.ACChair@capitaland.com" \t "_blank" </w:instrText>
      </w:r>
      <w:r>
        <w:fldChar w:fldCharType="separate"/>
      </w:r>
      <w:r>
        <w:rPr>
          <w:rFonts w:cs="宋体" w:asciiTheme="minorEastAsia" w:hAnsiTheme="minorEastAsia"/>
          <w:sz w:val="24"/>
          <w:szCs w:val="24"/>
        </w:rPr>
        <w:t>Whistleblowing.ACChair@capitaland.com</w:t>
      </w:r>
      <w:r>
        <w:rPr>
          <w:rFonts w:cs="宋体" w:asciiTheme="minorEastAsia" w:hAnsiTheme="minorEastAsia"/>
          <w:sz w:val="24"/>
          <w:szCs w:val="24"/>
        </w:rPr>
        <w:fldChar w:fldCharType="end"/>
      </w:r>
      <w:r>
        <w:rPr>
          <w:rFonts w:cs="宋体" w:asciiTheme="minorEastAsia" w:hAnsiTheme="minorEastAsia"/>
          <w:sz w:val="24"/>
          <w:szCs w:val="24"/>
        </w:rPr>
        <w:t xml:space="preserve"> </w:t>
      </w:r>
      <w:r>
        <w:rPr>
          <w:rFonts w:hint="eastAsia" w:cs="宋体" w:asciiTheme="minorEastAsia" w:hAnsiTheme="minorEastAsia"/>
          <w:sz w:val="24"/>
          <w:szCs w:val="24"/>
        </w:rPr>
        <w:t>】。</w:t>
      </w:r>
    </w:p>
    <w:p>
      <w:pPr>
        <w:spacing w:after="156" w:afterLines="50" w:line="400" w:lineRule="exact"/>
        <w:ind w:firstLine="480" w:firstLineChars="200"/>
        <w:jc w:val="left"/>
        <w:textAlignment w:val="baseline"/>
        <w:rPr>
          <w:rFonts w:cs="宋体" w:asciiTheme="minorEastAsia" w:hAnsiTheme="minorEastAsia"/>
          <w:sz w:val="24"/>
          <w:szCs w:val="24"/>
        </w:rPr>
      </w:pPr>
      <w:r>
        <w:rPr>
          <w:rFonts w:cs="宋体" w:asciiTheme="minorEastAsia" w:hAnsiTheme="minorEastAsia"/>
          <w:sz w:val="24"/>
          <w:szCs w:val="24"/>
        </w:rPr>
        <w:t>8.</w:t>
      </w:r>
      <w:r>
        <w:rPr>
          <w:rFonts w:hint="eastAsia" w:cs="宋体" w:asciiTheme="minorEastAsia" w:hAnsiTheme="minorEastAsia"/>
          <w:sz w:val="24"/>
          <w:szCs w:val="24"/>
        </w:rPr>
        <w:t>4</w:t>
      </w:r>
      <w:r>
        <w:rPr>
          <w:rFonts w:cs="宋体" w:asciiTheme="minorEastAsia" w:hAnsiTheme="minorEastAsia"/>
          <w:sz w:val="24"/>
          <w:szCs w:val="24"/>
        </w:rPr>
        <w:t xml:space="preserve"> </w:t>
      </w:r>
      <w:r>
        <w:rPr>
          <w:rFonts w:hint="eastAsia" w:cs="宋体" w:asciiTheme="minorEastAsia" w:hAnsiTheme="minorEastAsia"/>
          <w:sz w:val="24"/>
          <w:szCs w:val="24"/>
        </w:rPr>
        <w:t>如乙方或任何乙方代表已违反或试图违反任何反腐败法律，无论该等违法行为是否与本合同有关，甲方有权立即终止本合同。此情形下本合同的终止不影响甲方基于本合同或其他权源所享有的其他权利及救济。</w:t>
      </w:r>
    </w:p>
    <w:p>
      <w:pPr>
        <w:spacing w:after="156" w:afterLines="50" w:line="400" w:lineRule="exact"/>
        <w:ind w:firstLine="480" w:firstLineChars="200"/>
        <w:jc w:val="left"/>
        <w:textAlignment w:val="baseline"/>
        <w:rPr>
          <w:rFonts w:asciiTheme="minorEastAsia" w:hAnsiTheme="minorEastAsia"/>
          <w:sz w:val="24"/>
        </w:rPr>
      </w:pPr>
    </w:p>
    <w:p>
      <w:pPr>
        <w:spacing w:after="156" w:afterLines="50" w:line="400" w:lineRule="exact"/>
        <w:ind w:firstLine="482" w:firstLineChars="200"/>
        <w:jc w:val="left"/>
        <w:textAlignment w:val="baseline"/>
        <w:rPr>
          <w:rFonts w:cs="宋体" w:asciiTheme="minorEastAsia" w:hAnsiTheme="minorEastAsia"/>
          <w:b/>
          <w:sz w:val="24"/>
          <w:szCs w:val="24"/>
        </w:rPr>
      </w:pPr>
      <w:r>
        <w:rPr>
          <w:rFonts w:cs="宋体" w:asciiTheme="minorEastAsia" w:hAnsiTheme="minorEastAsia"/>
          <w:b/>
          <w:sz w:val="24"/>
          <w:szCs w:val="24"/>
        </w:rPr>
        <w:t xml:space="preserve">9  </w:t>
      </w:r>
      <w:r>
        <w:rPr>
          <w:rFonts w:hint="eastAsia" w:cs="宋体" w:asciiTheme="minorEastAsia" w:hAnsiTheme="minorEastAsia"/>
          <w:b/>
          <w:sz w:val="24"/>
          <w:szCs w:val="24"/>
        </w:rPr>
        <w:t>通知及送达</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cs="宋体" w:asciiTheme="minorEastAsia" w:hAnsiTheme="minorEastAsia"/>
          <w:sz w:val="24"/>
          <w:szCs w:val="24"/>
        </w:rPr>
        <w:t>9</w:t>
      </w:r>
      <w:r>
        <w:rPr>
          <w:rFonts w:cs="宋体" w:asciiTheme="minorEastAsia" w:hAnsiTheme="minorEastAsia"/>
          <w:sz w:val="24"/>
          <w:szCs w:val="24"/>
        </w:rPr>
        <w:t>.1</w:t>
      </w:r>
      <w:r>
        <w:rPr>
          <w:rFonts w:hint="eastAsia" w:cs="宋体" w:asciiTheme="minorEastAsia" w:hAnsiTheme="minorEastAsia"/>
          <w:sz w:val="24"/>
          <w:szCs w:val="24"/>
        </w:rPr>
        <w:t>本合同规定的任何通知应采取书面形式，并以双方盖章或指定的授权委托人签字确认为准。</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cs="宋体" w:asciiTheme="minorEastAsia" w:hAnsiTheme="minorEastAsia"/>
          <w:sz w:val="24"/>
          <w:szCs w:val="24"/>
        </w:rPr>
        <w:t>9</w:t>
      </w:r>
      <w:r>
        <w:rPr>
          <w:rFonts w:cs="宋体" w:asciiTheme="minorEastAsia" w:hAnsiTheme="minorEastAsia"/>
          <w:sz w:val="24"/>
          <w:szCs w:val="24"/>
        </w:rPr>
        <w:t>.2甲方指定的</w:t>
      </w:r>
      <w:r>
        <w:rPr>
          <w:rFonts w:hint="eastAsia" w:cs="宋体" w:asciiTheme="minorEastAsia" w:hAnsiTheme="minorEastAsia"/>
          <w:sz w:val="24"/>
          <w:szCs w:val="24"/>
        </w:rPr>
        <w:t>销售现场负责人、</w:t>
      </w:r>
      <w:r>
        <w:rPr>
          <w:rFonts w:cs="宋体" w:asciiTheme="minorEastAsia" w:hAnsiTheme="minorEastAsia"/>
          <w:sz w:val="24"/>
          <w:szCs w:val="24"/>
        </w:rPr>
        <w:t>签收确认人、授权委托人、每月确认清单签收人、代理费确认表签收人、发票签收人均以甲方书面通知为准。如有变更，须以甲方重新出具的书面通知为准。</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cs="宋体" w:asciiTheme="minorEastAsia" w:hAnsiTheme="minorEastAsia"/>
          <w:sz w:val="24"/>
          <w:szCs w:val="24"/>
        </w:rPr>
        <w:t>9</w:t>
      </w:r>
      <w:r>
        <w:rPr>
          <w:rFonts w:cs="宋体" w:asciiTheme="minorEastAsia" w:hAnsiTheme="minorEastAsia"/>
          <w:sz w:val="24"/>
          <w:szCs w:val="24"/>
        </w:rPr>
        <w:t>.3</w:t>
      </w:r>
      <w:r>
        <w:rPr>
          <w:rFonts w:hint="eastAsia" w:cs="宋体" w:asciiTheme="minorEastAsia" w:hAnsiTheme="minorEastAsia"/>
          <w:sz w:val="24"/>
          <w:szCs w:val="24"/>
        </w:rPr>
        <w:t>本合同约定通知的送达，以专人亲自向收件方递送、电子邮件送达或以邮寄方式送达。递送地址以本合同约定的地址为准（地址发生变更时应及时书面通知对方）。专人递送的，以乙方签收之日视为送达日；电子邮件送达的，电子邮件在发信系统上所记录的发出时间视为送达时间，发信系统未收到诸如邮箱地址不存在、对方邮箱已满等发送失败反馈的，视为通知已经成功送达；邮寄送达的</w:t>
      </w:r>
      <w:r>
        <w:rPr>
          <w:rFonts w:cs="宋体" w:asciiTheme="minorEastAsia" w:hAnsiTheme="minorEastAsia"/>
          <w:sz w:val="24"/>
          <w:szCs w:val="24"/>
        </w:rPr>
        <w:t>，</w:t>
      </w:r>
      <w:r>
        <w:rPr>
          <w:rFonts w:hint="eastAsia" w:cs="宋体" w:asciiTheme="minorEastAsia" w:hAnsiTheme="minorEastAsia"/>
          <w:sz w:val="24"/>
          <w:szCs w:val="24"/>
        </w:rPr>
        <w:t>以邮件</w:t>
      </w:r>
      <w:r>
        <w:rPr>
          <w:rFonts w:cs="宋体" w:asciiTheme="minorEastAsia" w:hAnsiTheme="minorEastAsia"/>
          <w:sz w:val="24"/>
          <w:szCs w:val="24"/>
        </w:rPr>
        <w:t>妥投</w:t>
      </w:r>
      <w:r>
        <w:rPr>
          <w:rFonts w:hint="eastAsia" w:cs="宋体" w:asciiTheme="minorEastAsia" w:hAnsiTheme="minorEastAsia"/>
          <w:sz w:val="24"/>
          <w:szCs w:val="24"/>
        </w:rPr>
        <w:t>或邮寄之日后的第3日（同城）/第5日（异地）视为送达日（以两者</w:t>
      </w:r>
      <w:r>
        <w:rPr>
          <w:rFonts w:cs="宋体" w:asciiTheme="minorEastAsia" w:hAnsiTheme="minorEastAsia"/>
          <w:sz w:val="24"/>
          <w:szCs w:val="24"/>
        </w:rPr>
        <w:t>更早的时间为准</w:t>
      </w:r>
      <w:r>
        <w:rPr>
          <w:rFonts w:hint="eastAsia" w:cs="宋体" w:asciiTheme="minorEastAsia" w:hAnsiTheme="minorEastAsia"/>
          <w:sz w:val="24"/>
          <w:szCs w:val="24"/>
        </w:rPr>
        <w:t>）。</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cs="宋体" w:asciiTheme="minorEastAsia" w:hAnsiTheme="minorEastAsia"/>
          <w:sz w:val="24"/>
          <w:szCs w:val="24"/>
        </w:rPr>
        <w:t>9.4</w:t>
      </w:r>
      <w:r>
        <w:rPr>
          <w:rFonts w:cs="宋体" w:asciiTheme="minorEastAsia" w:hAnsiTheme="minorEastAsia"/>
          <w:sz w:val="24"/>
          <w:szCs w:val="24"/>
        </w:rPr>
        <w:t>乙方</w:t>
      </w:r>
      <w:r>
        <w:rPr>
          <w:rFonts w:hint="eastAsia" w:cs="宋体" w:asciiTheme="minorEastAsia" w:hAnsiTheme="minorEastAsia"/>
          <w:sz w:val="24"/>
          <w:szCs w:val="24"/>
        </w:rPr>
        <w:t>联系</w:t>
      </w:r>
      <w:r>
        <w:rPr>
          <w:rFonts w:cs="宋体" w:asciiTheme="minorEastAsia" w:hAnsiTheme="minorEastAsia"/>
          <w:sz w:val="24"/>
          <w:szCs w:val="24"/>
        </w:rPr>
        <w:t>信息如下：</w:t>
      </w:r>
    </w:p>
    <w:p>
      <w:pPr>
        <w:spacing w:after="156" w:afterLines="50" w:line="400" w:lineRule="exact"/>
        <w:ind w:firstLine="480" w:firstLineChars="200"/>
        <w:jc w:val="left"/>
        <w:textAlignment w:val="baseline"/>
        <w:rPr>
          <w:rFonts w:cs="宋体" w:asciiTheme="minorEastAsia" w:hAnsiTheme="minorEastAsia"/>
          <w:sz w:val="24"/>
          <w:szCs w:val="24"/>
        </w:rPr>
      </w:pPr>
      <w:r>
        <w:rPr>
          <w:rFonts w:cs="宋体" w:asciiTheme="minorEastAsia" w:hAnsiTheme="minorEastAsia"/>
          <w:sz w:val="24"/>
          <w:szCs w:val="24"/>
        </w:rPr>
        <w:t xml:space="preserve">地址： </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cs="宋体" w:asciiTheme="minorEastAsia" w:hAnsiTheme="minorEastAsia"/>
          <w:sz w:val="24"/>
          <w:szCs w:val="24"/>
        </w:rPr>
        <w:t>联系</w:t>
      </w:r>
      <w:r>
        <w:rPr>
          <w:rFonts w:cs="宋体" w:asciiTheme="minorEastAsia" w:hAnsiTheme="minorEastAsia"/>
          <w:sz w:val="24"/>
          <w:szCs w:val="24"/>
        </w:rPr>
        <w:t>人</w:t>
      </w:r>
      <w:r>
        <w:rPr>
          <w:rFonts w:hint="eastAsia" w:cs="宋体" w:asciiTheme="minorEastAsia" w:hAnsiTheme="minorEastAsia"/>
          <w:sz w:val="24"/>
          <w:szCs w:val="24"/>
        </w:rPr>
        <w:t>：</w:t>
      </w:r>
      <w:r>
        <w:rPr>
          <w:rFonts w:cs="宋体" w:asciiTheme="minorEastAsia" w:hAnsiTheme="minorEastAsia"/>
          <w:sz w:val="24"/>
          <w:szCs w:val="24"/>
          <w:highlight w:val="none"/>
        </w:rPr>
        <w:t xml:space="preserve"> </w:t>
      </w:r>
    </w:p>
    <w:p>
      <w:pPr>
        <w:spacing w:after="156" w:afterLines="50" w:line="400" w:lineRule="exact"/>
        <w:ind w:firstLine="480" w:firstLineChars="200"/>
        <w:jc w:val="left"/>
        <w:textAlignment w:val="baseline"/>
        <w:rPr>
          <w:rFonts w:cs="宋体" w:asciiTheme="minorEastAsia" w:hAnsiTheme="minorEastAsia"/>
          <w:sz w:val="24"/>
          <w:szCs w:val="24"/>
        </w:rPr>
      </w:pPr>
      <w:r>
        <w:rPr>
          <w:rFonts w:cs="宋体" w:asciiTheme="minorEastAsia" w:hAnsiTheme="minorEastAsia"/>
          <w:sz w:val="24"/>
          <w:szCs w:val="24"/>
        </w:rPr>
        <w:t>电话：</w:t>
      </w:r>
      <w:r>
        <w:rPr>
          <w:rFonts w:cs="宋体" w:asciiTheme="minorEastAsia" w:hAnsiTheme="minorEastAsia"/>
          <w:sz w:val="24"/>
          <w:szCs w:val="24"/>
          <w:highlight w:val="none"/>
        </w:rPr>
        <w:t xml:space="preserve"> </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cs="宋体" w:asciiTheme="minorEastAsia" w:hAnsiTheme="minorEastAsia"/>
          <w:sz w:val="24"/>
          <w:szCs w:val="24"/>
        </w:rPr>
        <w:t>电子邮箱</w:t>
      </w:r>
      <w:r>
        <w:rPr>
          <w:rFonts w:cs="宋体" w:asciiTheme="minorEastAsia" w:hAnsiTheme="minorEastAsia"/>
          <w:sz w:val="24"/>
          <w:szCs w:val="24"/>
        </w:rPr>
        <w:t>：</w:t>
      </w:r>
    </w:p>
    <w:p>
      <w:pPr>
        <w:spacing w:after="156" w:afterLines="50" w:line="400" w:lineRule="exact"/>
        <w:ind w:firstLine="480" w:firstLineChars="200"/>
        <w:jc w:val="left"/>
        <w:textAlignment w:val="baseline"/>
        <w:rPr>
          <w:rFonts w:cs="宋体" w:asciiTheme="minorEastAsia" w:hAnsiTheme="minorEastAsia"/>
          <w:sz w:val="24"/>
          <w:szCs w:val="24"/>
        </w:rPr>
      </w:pPr>
      <w:r>
        <w:rPr>
          <w:rFonts w:hint="eastAsia" w:cs="宋体" w:asciiTheme="minorEastAsia" w:hAnsiTheme="minorEastAsia"/>
          <w:sz w:val="24"/>
          <w:szCs w:val="24"/>
        </w:rPr>
        <w:t>乙方联系信息</w:t>
      </w:r>
      <w:r>
        <w:rPr>
          <w:rFonts w:cs="宋体" w:asciiTheme="minorEastAsia" w:hAnsiTheme="minorEastAsia"/>
          <w:sz w:val="24"/>
          <w:szCs w:val="24"/>
        </w:rPr>
        <w:t>发生变更时应及时书面通知</w:t>
      </w:r>
      <w:r>
        <w:rPr>
          <w:rFonts w:hint="eastAsia" w:cs="宋体" w:asciiTheme="minorEastAsia" w:hAnsiTheme="minorEastAsia"/>
          <w:sz w:val="24"/>
          <w:szCs w:val="24"/>
        </w:rPr>
        <w:t>甲方，否则，甲方依上述地址的送达仍为合法有效之送达，乙方对因联系方式错误及未书面通知甲方联系方式变更而引起的一切后果承担全部责任。</w:t>
      </w:r>
    </w:p>
    <w:p>
      <w:pPr>
        <w:spacing w:after="156" w:afterLines="50" w:line="400" w:lineRule="exact"/>
        <w:ind w:firstLine="482" w:firstLineChars="200"/>
        <w:jc w:val="left"/>
        <w:rPr>
          <w:rFonts w:asciiTheme="minorEastAsia" w:hAnsiTheme="minorEastAsia"/>
          <w:b/>
          <w:sz w:val="24"/>
        </w:rPr>
      </w:pPr>
    </w:p>
    <w:p>
      <w:pPr>
        <w:spacing w:after="156" w:afterLines="50" w:line="400" w:lineRule="exact"/>
        <w:ind w:firstLine="482" w:firstLineChars="200"/>
        <w:jc w:val="left"/>
        <w:rPr>
          <w:rFonts w:asciiTheme="minorEastAsia" w:hAnsiTheme="minorEastAsia"/>
          <w:b/>
          <w:sz w:val="24"/>
        </w:rPr>
      </w:pPr>
      <w:r>
        <w:rPr>
          <w:rFonts w:hint="eastAsia" w:asciiTheme="minorEastAsia" w:hAnsiTheme="minorEastAsia"/>
          <w:b/>
          <w:sz w:val="24"/>
        </w:rPr>
        <w:t>10  其它</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10.1  本合同附件为本合同不可分割的组成部分。</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10.2  本合同约定的内容应当严格遵守，任何一方无权擅自变更合同；对本合同的任何变更均应在双方协商同意后签订补充协议，补充协议在双方盖章及法定代表人或授权代表签字后生效。</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10.3本合同未尽事宜，双方协商解决。若对本合同执行中产生的冲突双方协商不成的，双方均有权向项目所在地有管辖权的人民法院提起诉讼。</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10.4 本合同壹式肆份，双方各执贰份，自双方签字并盖章之日起生效，每份具同等法律效力。</w:t>
      </w:r>
    </w:p>
    <w:p>
      <w:pPr>
        <w:spacing w:after="156" w:afterLines="50" w:line="400" w:lineRule="exact"/>
        <w:ind w:firstLine="480" w:firstLineChars="200"/>
        <w:jc w:val="left"/>
        <w:rPr>
          <w:rFonts w:asciiTheme="minorEastAsia" w:hAnsiTheme="minorEastAsia"/>
          <w:sz w:val="24"/>
        </w:rPr>
      </w:pPr>
      <w:r>
        <w:rPr>
          <w:rFonts w:hint="eastAsia" w:asciiTheme="minorEastAsia" w:hAnsiTheme="minorEastAsia"/>
          <w:sz w:val="24"/>
        </w:rPr>
        <w:t>（以下无正文）</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合同附件：</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附件1：</w:t>
      </w:r>
      <w:r>
        <w:rPr>
          <w:rFonts w:hint="eastAsia" w:asciiTheme="minorEastAsia" w:hAnsiTheme="minorEastAsia"/>
          <w:sz w:val="24"/>
        </w:rPr>
        <w:t>《星贸项目总可售产品货量表》</w:t>
      </w: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附件2：《工作组成员名单》</w:t>
      </w:r>
    </w:p>
    <w:p>
      <w:pPr>
        <w:spacing w:after="156" w:afterLines="50" w:line="400" w:lineRule="exact"/>
        <w:ind w:firstLine="480" w:firstLineChars="200"/>
        <w:jc w:val="left"/>
        <w:rPr>
          <w:rFonts w:asciiTheme="minorEastAsia" w:hAnsiTheme="minorEastAsia"/>
          <w:kern w:val="0"/>
          <w:sz w:val="24"/>
        </w:rPr>
      </w:pPr>
      <w:r>
        <w:rPr>
          <w:rFonts w:hint="eastAsia" w:asciiTheme="minorEastAsia" w:hAnsiTheme="minorEastAsia"/>
          <w:kern w:val="0"/>
          <w:sz w:val="24"/>
        </w:rPr>
        <w:t>附件3：《工作组成员岗位要求》</w:t>
      </w:r>
    </w:p>
    <w:p>
      <w:pPr>
        <w:spacing w:after="156" w:afterLines="50" w:line="400" w:lineRule="exact"/>
        <w:ind w:firstLine="480" w:firstLineChars="200"/>
        <w:jc w:val="left"/>
        <w:rPr>
          <w:rFonts w:asciiTheme="minorEastAsia" w:hAnsiTheme="minorEastAsia"/>
          <w:sz w:val="24"/>
        </w:rPr>
      </w:pPr>
    </w:p>
    <w:p>
      <w:pPr>
        <w:snapToGrid w:val="0"/>
        <w:spacing w:after="156" w:afterLines="50" w:line="400" w:lineRule="exact"/>
        <w:ind w:firstLine="200"/>
        <w:jc w:val="left"/>
        <w:rPr>
          <w:rFonts w:asciiTheme="minorEastAsia" w:hAnsiTheme="minorEastAsia"/>
          <w:b/>
          <w:kern w:val="28"/>
          <w:sz w:val="24"/>
        </w:rPr>
      </w:pPr>
      <w:r>
        <w:rPr>
          <w:rFonts w:hint="eastAsia" w:asciiTheme="minorEastAsia" w:hAnsiTheme="minorEastAsia"/>
          <w:b/>
          <w:kern w:val="28"/>
          <w:sz w:val="24"/>
        </w:rPr>
        <w:t xml:space="preserve">甲方： </w:t>
      </w:r>
      <w:r>
        <w:rPr>
          <w:rFonts w:asciiTheme="minorEastAsia" w:hAnsiTheme="minorEastAsia"/>
          <w:b/>
          <w:kern w:val="28"/>
          <w:sz w:val="24"/>
        </w:rPr>
        <w:t xml:space="preserve">                   </w:t>
      </w:r>
      <w:r>
        <w:rPr>
          <w:rFonts w:hint="eastAsia" w:asciiTheme="minorEastAsia" w:hAnsiTheme="minorEastAsia"/>
          <w:b/>
          <w:kern w:val="28"/>
          <w:sz w:val="24"/>
        </w:rPr>
        <w:t xml:space="preserve">      乙方：                              </w:t>
      </w:r>
    </w:p>
    <w:p>
      <w:pPr>
        <w:snapToGrid w:val="0"/>
        <w:spacing w:after="156" w:afterLines="50" w:line="400" w:lineRule="exact"/>
        <w:ind w:firstLine="200"/>
        <w:jc w:val="left"/>
        <w:rPr>
          <w:rFonts w:asciiTheme="minorEastAsia" w:hAnsiTheme="minorEastAsia"/>
          <w:b/>
          <w:kern w:val="28"/>
          <w:sz w:val="24"/>
        </w:rPr>
      </w:pPr>
    </w:p>
    <w:p>
      <w:pPr>
        <w:snapToGrid w:val="0"/>
        <w:spacing w:after="156" w:afterLines="50" w:line="400" w:lineRule="exact"/>
        <w:ind w:firstLine="200"/>
        <w:jc w:val="left"/>
        <w:rPr>
          <w:rFonts w:asciiTheme="minorEastAsia" w:hAnsiTheme="minorEastAsia"/>
          <w:b/>
          <w:kern w:val="28"/>
          <w:sz w:val="24"/>
        </w:rPr>
      </w:pPr>
      <w:r>
        <w:rPr>
          <w:rFonts w:hint="eastAsia" w:asciiTheme="minorEastAsia" w:hAnsiTheme="minorEastAsia"/>
          <w:b/>
          <w:kern w:val="28"/>
          <w:sz w:val="24"/>
        </w:rPr>
        <w:t>法定代表人/授权代表：</w:t>
      </w:r>
      <w:r>
        <w:rPr>
          <w:rFonts w:hint="eastAsia" w:asciiTheme="minorEastAsia" w:hAnsiTheme="minorEastAsia"/>
          <w:b/>
          <w:kern w:val="28"/>
          <w:sz w:val="24"/>
          <w:lang w:eastAsia="zh-TW"/>
        </w:rPr>
        <w:t xml:space="preserve">           </w:t>
      </w:r>
      <w:r>
        <w:rPr>
          <w:rFonts w:hint="eastAsia" w:asciiTheme="minorEastAsia" w:hAnsiTheme="minorEastAsia"/>
          <w:b/>
          <w:kern w:val="28"/>
          <w:sz w:val="24"/>
        </w:rPr>
        <w:t>法定代表人/授权代表：</w:t>
      </w:r>
      <w:r>
        <w:rPr>
          <w:rFonts w:hint="eastAsia" w:asciiTheme="minorEastAsia" w:hAnsiTheme="minorEastAsia"/>
          <w:b/>
          <w:kern w:val="28"/>
          <w:sz w:val="24"/>
          <w:lang w:eastAsia="zh-TW"/>
        </w:rPr>
        <w:t xml:space="preserve">         </w:t>
      </w:r>
      <w:r>
        <w:rPr>
          <w:rFonts w:hint="eastAsia" w:asciiTheme="minorEastAsia" w:hAnsiTheme="minorEastAsia"/>
          <w:b/>
          <w:kern w:val="28"/>
          <w:sz w:val="24"/>
        </w:rPr>
        <w:t xml:space="preserve"> </w:t>
      </w:r>
      <w:r>
        <w:rPr>
          <w:rFonts w:hint="eastAsia" w:asciiTheme="minorEastAsia" w:hAnsiTheme="minorEastAsia"/>
          <w:b/>
          <w:kern w:val="28"/>
          <w:sz w:val="24"/>
          <w:lang w:eastAsia="zh-TW"/>
        </w:rPr>
        <w:t xml:space="preserve">  </w:t>
      </w:r>
    </w:p>
    <w:p>
      <w:pPr>
        <w:snapToGrid w:val="0"/>
        <w:spacing w:after="156" w:afterLines="50" w:line="400" w:lineRule="exact"/>
        <w:ind w:firstLine="200"/>
        <w:jc w:val="left"/>
        <w:rPr>
          <w:rFonts w:asciiTheme="minorEastAsia" w:hAnsiTheme="minorEastAsia"/>
          <w:b/>
          <w:kern w:val="28"/>
          <w:sz w:val="24"/>
        </w:rPr>
      </w:pPr>
      <w:r>
        <w:rPr>
          <w:rFonts w:hint="eastAsia" w:asciiTheme="minorEastAsia" w:hAnsiTheme="minorEastAsia"/>
          <w:b/>
          <w:kern w:val="28"/>
          <w:sz w:val="24"/>
          <w:lang w:eastAsia="zh-TW"/>
        </w:rPr>
        <w:t xml:space="preserve">                    </w:t>
      </w:r>
    </w:p>
    <w:p>
      <w:pPr>
        <w:snapToGrid w:val="0"/>
        <w:spacing w:after="156" w:afterLines="50" w:line="400" w:lineRule="exact"/>
        <w:ind w:firstLine="200"/>
        <w:jc w:val="left"/>
        <w:rPr>
          <w:rFonts w:asciiTheme="minorEastAsia" w:hAnsiTheme="minorEastAsia"/>
          <w:b/>
          <w:kern w:val="28"/>
          <w:sz w:val="24"/>
        </w:rPr>
      </w:pPr>
      <w:r>
        <w:rPr>
          <w:rFonts w:hint="eastAsia" w:asciiTheme="minorEastAsia" w:hAnsiTheme="minorEastAsia"/>
          <w:b/>
          <w:kern w:val="28"/>
          <w:sz w:val="24"/>
        </w:rPr>
        <w:t>日期：</w:t>
      </w:r>
      <w:r>
        <w:rPr>
          <w:rFonts w:hint="eastAsia" w:asciiTheme="minorEastAsia" w:hAnsiTheme="minorEastAsia"/>
          <w:bCs/>
          <w:kern w:val="28"/>
          <w:sz w:val="24"/>
        </w:rPr>
        <w:t xml:space="preserve">      </w:t>
      </w:r>
      <w:r>
        <w:rPr>
          <w:rFonts w:hint="eastAsia" w:asciiTheme="minorEastAsia" w:hAnsiTheme="minorEastAsia"/>
          <w:b/>
          <w:kern w:val="28"/>
          <w:sz w:val="24"/>
        </w:rPr>
        <w:t>年</w:t>
      </w:r>
      <w:r>
        <w:rPr>
          <w:rFonts w:hint="eastAsia" w:asciiTheme="minorEastAsia" w:hAnsiTheme="minorEastAsia"/>
          <w:bCs/>
          <w:kern w:val="28"/>
          <w:sz w:val="24"/>
        </w:rPr>
        <w:t xml:space="preserve">    </w:t>
      </w:r>
      <w:r>
        <w:rPr>
          <w:rFonts w:hint="eastAsia" w:asciiTheme="minorEastAsia" w:hAnsiTheme="minorEastAsia"/>
          <w:b/>
          <w:kern w:val="28"/>
          <w:sz w:val="24"/>
        </w:rPr>
        <w:t>月</w:t>
      </w:r>
      <w:r>
        <w:rPr>
          <w:rFonts w:hint="eastAsia" w:asciiTheme="minorEastAsia" w:hAnsiTheme="minorEastAsia"/>
          <w:bCs/>
          <w:kern w:val="28"/>
          <w:sz w:val="24"/>
        </w:rPr>
        <w:t xml:space="preserve">    </w:t>
      </w:r>
      <w:r>
        <w:rPr>
          <w:rFonts w:hint="eastAsia" w:asciiTheme="minorEastAsia" w:hAnsiTheme="minorEastAsia"/>
          <w:b/>
          <w:kern w:val="28"/>
          <w:sz w:val="24"/>
        </w:rPr>
        <w:t xml:space="preserve">日       </w:t>
      </w:r>
      <w:r>
        <w:rPr>
          <w:rFonts w:asciiTheme="minorEastAsia" w:hAnsiTheme="minorEastAsia"/>
          <w:b/>
          <w:kern w:val="28"/>
          <w:sz w:val="24"/>
        </w:rPr>
        <w:t xml:space="preserve"> </w:t>
      </w:r>
      <w:r>
        <w:rPr>
          <w:rFonts w:hint="eastAsia" w:asciiTheme="minorEastAsia" w:hAnsiTheme="minorEastAsia"/>
          <w:b/>
          <w:kern w:val="28"/>
          <w:sz w:val="24"/>
        </w:rPr>
        <w:t>日期：</w:t>
      </w:r>
      <w:r>
        <w:rPr>
          <w:rFonts w:hint="eastAsia" w:asciiTheme="minorEastAsia" w:hAnsiTheme="minorEastAsia"/>
          <w:bCs/>
          <w:kern w:val="28"/>
          <w:sz w:val="24"/>
        </w:rPr>
        <w:t xml:space="preserve">      </w:t>
      </w:r>
      <w:r>
        <w:rPr>
          <w:rFonts w:hint="eastAsia" w:asciiTheme="minorEastAsia" w:hAnsiTheme="minorEastAsia"/>
          <w:b/>
          <w:kern w:val="28"/>
          <w:sz w:val="24"/>
        </w:rPr>
        <w:t>年</w:t>
      </w:r>
      <w:r>
        <w:rPr>
          <w:rFonts w:hint="eastAsia" w:asciiTheme="minorEastAsia" w:hAnsiTheme="minorEastAsia"/>
          <w:bCs/>
          <w:kern w:val="28"/>
          <w:sz w:val="24"/>
        </w:rPr>
        <w:t xml:space="preserve">    </w:t>
      </w:r>
      <w:r>
        <w:rPr>
          <w:rFonts w:hint="eastAsia" w:asciiTheme="minorEastAsia" w:hAnsiTheme="minorEastAsia"/>
          <w:b/>
          <w:kern w:val="28"/>
          <w:sz w:val="24"/>
        </w:rPr>
        <w:t>月</w:t>
      </w:r>
      <w:r>
        <w:rPr>
          <w:rFonts w:hint="eastAsia" w:asciiTheme="minorEastAsia" w:hAnsiTheme="minorEastAsia"/>
          <w:bCs/>
          <w:kern w:val="28"/>
          <w:sz w:val="24"/>
        </w:rPr>
        <w:t xml:space="preserve">   </w:t>
      </w:r>
      <w:r>
        <w:rPr>
          <w:rFonts w:hint="eastAsia" w:asciiTheme="minorEastAsia" w:hAnsiTheme="minorEastAsia"/>
          <w:b/>
          <w:kern w:val="28"/>
          <w:sz w:val="24"/>
        </w:rPr>
        <w:t>日</w:t>
      </w:r>
    </w:p>
    <w:p>
      <w:pPr>
        <w:snapToGrid w:val="0"/>
        <w:spacing w:after="156" w:afterLines="50" w:line="400" w:lineRule="exact"/>
        <w:ind w:firstLine="200"/>
        <w:jc w:val="left"/>
        <w:rPr>
          <w:rFonts w:asciiTheme="minorEastAsia" w:hAnsiTheme="minorEastAsia"/>
          <w:kern w:val="28"/>
          <w:sz w:val="24"/>
        </w:rPr>
      </w:pPr>
    </w:p>
    <w:p>
      <w:pPr>
        <w:snapToGrid w:val="0"/>
        <w:spacing w:after="156" w:afterLines="50" w:line="400" w:lineRule="exact"/>
        <w:ind w:firstLine="200"/>
        <w:jc w:val="left"/>
        <w:rPr>
          <w:rFonts w:asciiTheme="minorEastAsia" w:hAnsiTheme="minorEastAsia"/>
          <w:kern w:val="28"/>
          <w:sz w:val="24"/>
        </w:rPr>
      </w:pPr>
    </w:p>
    <w:p>
      <w:pPr>
        <w:snapToGrid w:val="0"/>
        <w:spacing w:after="156" w:afterLines="50" w:line="400" w:lineRule="exact"/>
        <w:ind w:firstLine="200"/>
        <w:jc w:val="left"/>
        <w:rPr>
          <w:rFonts w:asciiTheme="minorEastAsia" w:hAnsiTheme="minorEastAsia"/>
          <w:kern w:val="28"/>
          <w:sz w:val="24"/>
        </w:rPr>
      </w:pPr>
    </w:p>
    <w:p>
      <w:pPr>
        <w:rPr>
          <w:rFonts w:hint="eastAsia" w:asciiTheme="minorEastAsia" w:hAnsiTheme="minorEastAsia"/>
          <w:kern w:val="28"/>
          <w:sz w:val="24"/>
        </w:rPr>
      </w:pPr>
      <w:r>
        <w:rPr>
          <w:rFonts w:hint="eastAsia" w:asciiTheme="minorEastAsia" w:hAnsiTheme="minorEastAsia"/>
          <w:kern w:val="28"/>
          <w:sz w:val="24"/>
        </w:rPr>
        <w:br w:type="page"/>
      </w:r>
    </w:p>
    <w:p>
      <w:pPr>
        <w:spacing w:after="156" w:afterLines="50" w:line="400" w:lineRule="exact"/>
        <w:ind w:firstLine="480" w:firstLineChars="200"/>
        <w:jc w:val="left"/>
        <w:rPr>
          <w:rFonts w:asciiTheme="minorEastAsia" w:hAnsiTheme="minorEastAsia"/>
          <w:sz w:val="24"/>
          <w:szCs w:val="24"/>
        </w:rPr>
      </w:pPr>
      <w:bookmarkStart w:id="5" w:name="_GoBack"/>
      <w:bookmarkEnd w:id="5"/>
      <w:r>
        <w:rPr>
          <w:rFonts w:hint="eastAsia" w:asciiTheme="minorEastAsia" w:hAnsiTheme="minorEastAsia"/>
          <w:kern w:val="28"/>
          <w:sz w:val="24"/>
        </w:rPr>
        <w:t>附件1：</w:t>
      </w:r>
      <w:r>
        <w:rPr>
          <w:rFonts w:hint="eastAsia" w:asciiTheme="minorEastAsia" w:hAnsiTheme="minorEastAsia"/>
          <w:sz w:val="24"/>
        </w:rPr>
        <w:t>《星贸项目总可售产品货量表》</w:t>
      </w:r>
    </w:p>
    <w:tbl>
      <w:tblPr>
        <w:tblStyle w:val="10"/>
        <w:tblW w:w="6500" w:type="dxa"/>
        <w:tblInd w:w="-5" w:type="dxa"/>
        <w:tblLayout w:type="autofit"/>
        <w:tblCellMar>
          <w:top w:w="0" w:type="dxa"/>
          <w:left w:w="108" w:type="dxa"/>
          <w:bottom w:w="0" w:type="dxa"/>
          <w:right w:w="108" w:type="dxa"/>
        </w:tblCellMar>
      </w:tblPr>
      <w:tblGrid>
        <w:gridCol w:w="1480"/>
        <w:gridCol w:w="2631"/>
        <w:gridCol w:w="2389"/>
      </w:tblGrid>
      <w:tr>
        <w:tblPrEx>
          <w:tblCellMar>
            <w:top w:w="0" w:type="dxa"/>
            <w:left w:w="108" w:type="dxa"/>
            <w:bottom w:w="0" w:type="dxa"/>
            <w:right w:w="108" w:type="dxa"/>
          </w:tblCellMar>
        </w:tblPrEx>
        <w:trPr>
          <w:trHeight w:val="499" w:hRule="atLeast"/>
        </w:trPr>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地块</w:t>
            </w:r>
          </w:p>
        </w:tc>
        <w:tc>
          <w:tcPr>
            <w:tcW w:w="5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总货量</w:t>
            </w:r>
          </w:p>
        </w:tc>
      </w:tr>
      <w:tr>
        <w:tblPrEx>
          <w:tblCellMar>
            <w:top w:w="0" w:type="dxa"/>
            <w:left w:w="108" w:type="dxa"/>
            <w:bottom w:w="0" w:type="dxa"/>
            <w:right w:w="108" w:type="dxa"/>
          </w:tblCellMar>
        </w:tblPrEx>
        <w:trPr>
          <w:trHeight w:val="499" w:hRule="atLeast"/>
        </w:trPr>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26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套数</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建筑面积m²</w:t>
            </w:r>
          </w:p>
        </w:tc>
      </w:tr>
      <w:tr>
        <w:tblPrEx>
          <w:tblCellMar>
            <w:top w:w="0" w:type="dxa"/>
            <w:left w:w="108" w:type="dxa"/>
            <w:bottom w:w="0" w:type="dxa"/>
            <w:right w:w="108" w:type="dxa"/>
          </w:tblCellMar>
        </w:tblPrEx>
        <w:trPr>
          <w:trHeight w:val="499"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6011</w:t>
            </w:r>
            <w:r>
              <w:rPr>
                <w:rFonts w:hint="eastAsia" w:ascii="宋体" w:hAnsi="宋体" w:eastAsia="宋体" w:cs="宋体"/>
                <w:color w:val="000000"/>
                <w:kern w:val="0"/>
                <w:sz w:val="24"/>
                <w:szCs w:val="24"/>
              </w:rPr>
              <w:t>地块</w:t>
            </w:r>
          </w:p>
        </w:tc>
        <w:tc>
          <w:tcPr>
            <w:tcW w:w="26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270</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15668</w:t>
            </w:r>
          </w:p>
        </w:tc>
      </w:tr>
      <w:tr>
        <w:tblPrEx>
          <w:tblCellMar>
            <w:top w:w="0" w:type="dxa"/>
            <w:left w:w="108" w:type="dxa"/>
            <w:bottom w:w="0" w:type="dxa"/>
            <w:right w:w="108" w:type="dxa"/>
          </w:tblCellMar>
        </w:tblPrEx>
        <w:trPr>
          <w:trHeight w:val="499"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r>
              <w:rPr>
                <w:rFonts w:ascii="宋体" w:hAnsi="宋体" w:eastAsia="宋体" w:cs="宋体"/>
                <w:color w:val="000000"/>
                <w:kern w:val="0"/>
                <w:sz w:val="24"/>
                <w:szCs w:val="24"/>
              </w:rPr>
              <w:t>010</w:t>
            </w:r>
            <w:r>
              <w:rPr>
                <w:rFonts w:hint="eastAsia" w:ascii="宋体" w:hAnsi="宋体" w:eastAsia="宋体" w:cs="宋体"/>
                <w:color w:val="000000"/>
                <w:kern w:val="0"/>
                <w:sz w:val="24"/>
                <w:szCs w:val="24"/>
              </w:rPr>
              <w:t>地块</w:t>
            </w:r>
          </w:p>
        </w:tc>
        <w:tc>
          <w:tcPr>
            <w:tcW w:w="26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7</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r>
              <w:rPr>
                <w:rFonts w:ascii="宋体" w:hAnsi="宋体" w:eastAsia="宋体" w:cs="宋体"/>
                <w:color w:val="000000"/>
                <w:kern w:val="0"/>
                <w:sz w:val="24"/>
                <w:szCs w:val="24"/>
              </w:rPr>
              <w:t>476</w:t>
            </w:r>
          </w:p>
        </w:tc>
      </w:tr>
      <w:tr>
        <w:tblPrEx>
          <w:tblCellMar>
            <w:top w:w="0" w:type="dxa"/>
            <w:left w:w="108" w:type="dxa"/>
            <w:bottom w:w="0" w:type="dxa"/>
            <w:right w:w="108" w:type="dxa"/>
          </w:tblCellMar>
        </w:tblPrEx>
        <w:trPr>
          <w:trHeight w:val="499" w:hRule="atLeast"/>
        </w:trPr>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601416</w:t>
            </w:r>
            <w:r>
              <w:rPr>
                <w:rFonts w:hint="eastAsia" w:ascii="宋体" w:hAnsi="宋体" w:eastAsia="宋体" w:cs="宋体"/>
                <w:color w:val="000000"/>
                <w:kern w:val="0"/>
                <w:sz w:val="24"/>
                <w:szCs w:val="24"/>
              </w:rPr>
              <w:t>地块</w:t>
            </w:r>
          </w:p>
        </w:tc>
        <w:tc>
          <w:tcPr>
            <w:tcW w:w="26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82</w:t>
            </w:r>
          </w:p>
        </w:tc>
        <w:tc>
          <w:tcPr>
            <w:tcW w:w="23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18483</w:t>
            </w:r>
          </w:p>
        </w:tc>
      </w:tr>
      <w:tr>
        <w:tblPrEx>
          <w:tblCellMar>
            <w:top w:w="0" w:type="dxa"/>
            <w:left w:w="108" w:type="dxa"/>
            <w:bottom w:w="0" w:type="dxa"/>
            <w:right w:w="108" w:type="dxa"/>
          </w:tblCellMar>
        </w:tblPrEx>
        <w:trPr>
          <w:trHeight w:val="499" w:hRule="atLeast"/>
        </w:trPr>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商铺</w:t>
            </w:r>
          </w:p>
        </w:tc>
        <w:tc>
          <w:tcPr>
            <w:tcW w:w="26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23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500</w:t>
            </w:r>
          </w:p>
        </w:tc>
      </w:tr>
      <w:tr>
        <w:tblPrEx>
          <w:tblCellMar>
            <w:top w:w="0" w:type="dxa"/>
            <w:left w:w="108" w:type="dxa"/>
            <w:bottom w:w="0" w:type="dxa"/>
            <w:right w:w="108" w:type="dxa"/>
          </w:tblCellMar>
        </w:tblPrEx>
        <w:trPr>
          <w:trHeight w:val="499" w:hRule="atLeast"/>
        </w:trPr>
        <w:tc>
          <w:tcPr>
            <w:tcW w:w="1480" w:type="dxa"/>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2631"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379</w:t>
            </w:r>
            <w:r>
              <w:rPr>
                <w:rFonts w:hint="eastAsia" w:ascii="宋体" w:hAnsi="宋体" w:eastAsia="宋体" w:cs="宋体"/>
                <w:color w:val="000000"/>
                <w:kern w:val="0"/>
                <w:sz w:val="24"/>
                <w:szCs w:val="24"/>
              </w:rPr>
              <w:t>+</w:t>
            </w:r>
          </w:p>
        </w:tc>
        <w:tc>
          <w:tcPr>
            <w:tcW w:w="2389"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45127</w:t>
            </w:r>
          </w:p>
        </w:tc>
      </w:tr>
      <w:tr>
        <w:tblPrEx>
          <w:tblCellMar>
            <w:top w:w="0" w:type="dxa"/>
            <w:left w:w="108" w:type="dxa"/>
            <w:bottom w:w="0" w:type="dxa"/>
            <w:right w:w="108" w:type="dxa"/>
          </w:tblCellMar>
        </w:tblPrEx>
        <w:trPr>
          <w:trHeight w:val="499" w:hRule="atLeast"/>
        </w:trPr>
        <w:tc>
          <w:tcPr>
            <w:tcW w:w="6500"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p>
            <w:pPr>
              <w:pStyle w:val="18"/>
              <w:widowControl/>
              <w:numPr>
                <w:ilvl w:val="0"/>
                <w:numId w:val="2"/>
              </w:numPr>
              <w:ind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以上数据尚未预测绘，以预测绘为准。</w:t>
            </w:r>
          </w:p>
          <w:p>
            <w:pPr>
              <w:pStyle w:val="18"/>
              <w:widowControl/>
              <w:numPr>
                <w:ilvl w:val="0"/>
                <w:numId w:val="2"/>
              </w:numPr>
              <w:ind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商铺为备选可售产品，不在3</w:t>
            </w:r>
            <w:r>
              <w:rPr>
                <w:rFonts w:ascii="宋体" w:hAnsi="宋体" w:eastAsia="宋体" w:cs="宋体"/>
                <w:color w:val="000000"/>
                <w:kern w:val="0"/>
                <w:sz w:val="24"/>
                <w:szCs w:val="24"/>
              </w:rPr>
              <w:t>0</w:t>
            </w:r>
            <w:r>
              <w:rPr>
                <w:rFonts w:hint="eastAsia" w:ascii="宋体" w:hAnsi="宋体" w:eastAsia="宋体" w:cs="宋体"/>
                <w:color w:val="000000"/>
                <w:kern w:val="0"/>
                <w:sz w:val="24"/>
                <w:szCs w:val="24"/>
              </w:rPr>
              <w:t>%计划可售面积之内。</w:t>
            </w:r>
          </w:p>
        </w:tc>
      </w:tr>
    </w:tbl>
    <w:p>
      <w:pPr>
        <w:snapToGrid w:val="0"/>
        <w:spacing w:after="156" w:afterLines="50" w:line="400" w:lineRule="exact"/>
        <w:ind w:firstLine="480" w:firstLineChars="200"/>
        <w:jc w:val="left"/>
        <w:rPr>
          <w:rFonts w:asciiTheme="minorEastAsia" w:hAnsiTheme="minorEastAsia"/>
          <w:kern w:val="28"/>
          <w:sz w:val="24"/>
        </w:rPr>
      </w:pPr>
    </w:p>
    <w:p>
      <w:pPr>
        <w:snapToGrid w:val="0"/>
        <w:spacing w:after="156" w:afterLines="50" w:line="400" w:lineRule="exact"/>
        <w:ind w:firstLine="480" w:firstLineChars="200"/>
        <w:jc w:val="left"/>
        <w:rPr>
          <w:rFonts w:asciiTheme="minorEastAsia" w:hAnsiTheme="minorEastAsia"/>
          <w:kern w:val="28"/>
          <w:sz w:val="24"/>
        </w:rPr>
      </w:pPr>
      <w:r>
        <w:rPr>
          <w:rFonts w:hint="eastAsia" w:asciiTheme="minorEastAsia" w:hAnsiTheme="minorEastAsia"/>
          <w:kern w:val="28"/>
          <w:sz w:val="24"/>
        </w:rPr>
        <w:t>附件2：</w:t>
      </w:r>
      <w:r>
        <w:rPr>
          <w:rFonts w:hint="eastAsia" w:asciiTheme="minorEastAsia" w:hAnsiTheme="minorEastAsia"/>
          <w:sz w:val="24"/>
          <w:szCs w:val="24"/>
        </w:rPr>
        <w:t>《工作组成员名单》</w:t>
      </w:r>
    </w:p>
    <w:tbl>
      <w:tblPr>
        <w:tblStyle w:val="10"/>
        <w:tblW w:w="84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2405"/>
        <w:gridCol w:w="2264"/>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15" w:type="dxa"/>
            <w:gridSpan w:val="4"/>
            <w:shd w:val="clear" w:color="auto" w:fill="D8D8D8" w:themeFill="background1" w:themeFillShade="D9"/>
            <w:noWrap/>
            <w:vAlign w:val="center"/>
          </w:tcPr>
          <w:p>
            <w:pPr>
              <w:widowControl/>
              <w:spacing w:after="156" w:afterLines="50" w:line="400" w:lineRule="exact"/>
              <w:ind w:firstLine="482" w:firstLineChars="200"/>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工作组成员名单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8" w:type="dxa"/>
            <w:noWrap/>
            <w:vAlign w:val="center"/>
          </w:tcPr>
          <w:p>
            <w:pPr>
              <w:widowControl/>
              <w:spacing w:after="156" w:afterLines="50" w:line="400" w:lineRule="exact"/>
              <w:ind w:firstLine="482" w:firstLineChars="200"/>
              <w:jc w:val="left"/>
              <w:rPr>
                <w:rFonts w:cs="宋体" w:asciiTheme="minorEastAsia" w:hAnsiTheme="minorEastAsia"/>
                <w:b/>
                <w:bCs/>
                <w:kern w:val="0"/>
                <w:sz w:val="24"/>
                <w:szCs w:val="24"/>
                <w:highlight w:val="yellow"/>
              </w:rPr>
            </w:pPr>
            <w:r>
              <w:rPr>
                <w:rFonts w:hint="eastAsia" w:cs="宋体" w:asciiTheme="minorEastAsia" w:hAnsiTheme="minorEastAsia"/>
                <w:b/>
                <w:bCs/>
                <w:kern w:val="0"/>
                <w:sz w:val="24"/>
                <w:szCs w:val="24"/>
                <w:highlight w:val="yellow"/>
              </w:rPr>
              <w:t>姓名</w:t>
            </w:r>
          </w:p>
        </w:tc>
        <w:tc>
          <w:tcPr>
            <w:tcW w:w="2405" w:type="dxa"/>
            <w:noWrap/>
            <w:vAlign w:val="center"/>
          </w:tcPr>
          <w:p>
            <w:pPr>
              <w:widowControl/>
              <w:spacing w:after="156" w:afterLines="50" w:line="400" w:lineRule="exact"/>
              <w:ind w:firstLine="482" w:firstLineChars="200"/>
              <w:jc w:val="left"/>
              <w:rPr>
                <w:rFonts w:cs="宋体" w:asciiTheme="minorEastAsia" w:hAnsiTheme="minorEastAsia"/>
                <w:b/>
                <w:bCs/>
                <w:kern w:val="0"/>
                <w:sz w:val="24"/>
                <w:szCs w:val="24"/>
                <w:highlight w:val="yellow"/>
              </w:rPr>
            </w:pPr>
            <w:r>
              <w:rPr>
                <w:rFonts w:hint="eastAsia" w:cs="宋体" w:asciiTheme="minorEastAsia" w:hAnsiTheme="minorEastAsia"/>
                <w:b/>
                <w:bCs/>
                <w:kern w:val="0"/>
                <w:sz w:val="24"/>
                <w:szCs w:val="24"/>
                <w:highlight w:val="yellow"/>
              </w:rPr>
              <w:t>部门</w:t>
            </w:r>
            <w:r>
              <w:rPr>
                <w:rFonts w:cs="宋体" w:asciiTheme="minorEastAsia" w:hAnsiTheme="minorEastAsia"/>
                <w:b/>
                <w:bCs/>
                <w:kern w:val="0"/>
                <w:sz w:val="24"/>
                <w:szCs w:val="24"/>
                <w:highlight w:val="yellow"/>
              </w:rPr>
              <w:t>/职位</w:t>
            </w:r>
          </w:p>
        </w:tc>
        <w:tc>
          <w:tcPr>
            <w:tcW w:w="2264" w:type="dxa"/>
            <w:noWrap/>
            <w:vAlign w:val="center"/>
          </w:tcPr>
          <w:p>
            <w:pPr>
              <w:widowControl/>
              <w:spacing w:after="156" w:afterLines="50" w:line="400" w:lineRule="exact"/>
              <w:ind w:firstLine="482" w:firstLineChars="200"/>
              <w:jc w:val="left"/>
              <w:rPr>
                <w:rFonts w:cs="宋体" w:asciiTheme="minorEastAsia" w:hAnsiTheme="minorEastAsia"/>
                <w:b/>
                <w:bCs/>
                <w:kern w:val="0"/>
                <w:sz w:val="24"/>
                <w:szCs w:val="24"/>
                <w:highlight w:val="yellow"/>
              </w:rPr>
            </w:pPr>
            <w:r>
              <w:rPr>
                <w:rFonts w:hint="eastAsia" w:cs="宋体" w:asciiTheme="minorEastAsia" w:hAnsiTheme="minorEastAsia"/>
                <w:b/>
                <w:bCs/>
                <w:kern w:val="0"/>
                <w:sz w:val="24"/>
                <w:szCs w:val="24"/>
                <w:highlight w:val="yellow"/>
              </w:rPr>
              <w:t>电话号码</w:t>
            </w:r>
          </w:p>
        </w:tc>
        <w:tc>
          <w:tcPr>
            <w:tcW w:w="1608" w:type="dxa"/>
          </w:tcPr>
          <w:p>
            <w:pPr>
              <w:widowControl/>
              <w:spacing w:after="156" w:afterLines="50" w:line="400" w:lineRule="exact"/>
              <w:ind w:firstLine="482" w:firstLineChars="200"/>
              <w:jc w:val="left"/>
              <w:rPr>
                <w:rFonts w:cs="宋体" w:asciiTheme="minorEastAsia" w:hAnsiTheme="minorEastAsia"/>
                <w:b/>
                <w:bCs/>
                <w:kern w:val="0"/>
                <w:sz w:val="24"/>
                <w:szCs w:val="24"/>
                <w:highlight w:val="yellow"/>
              </w:rPr>
            </w:pPr>
            <w:r>
              <w:rPr>
                <w:rFonts w:hint="eastAsia" w:cs="宋体" w:asciiTheme="minorEastAsia" w:hAnsiTheme="minorEastAsia"/>
                <w:b/>
                <w:bCs/>
                <w:kern w:val="0"/>
                <w:sz w:val="24"/>
                <w:szCs w:val="24"/>
                <w:highlight w:val="yello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8"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405"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264"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1608" w:type="dxa"/>
          </w:tcPr>
          <w:p>
            <w:pPr>
              <w:widowControl/>
              <w:spacing w:after="156" w:afterLines="50" w:line="400" w:lineRule="exact"/>
              <w:ind w:firstLine="480" w:firstLineChars="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8"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405"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264"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1608" w:type="dxa"/>
          </w:tcPr>
          <w:p>
            <w:pPr>
              <w:widowControl/>
              <w:spacing w:after="156" w:afterLines="50" w:line="400" w:lineRule="exact"/>
              <w:ind w:firstLine="480" w:firstLineChars="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8"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405"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264"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1608" w:type="dxa"/>
          </w:tcPr>
          <w:p>
            <w:pPr>
              <w:widowControl/>
              <w:spacing w:after="156" w:afterLines="50" w:line="400" w:lineRule="exact"/>
              <w:ind w:firstLine="480" w:firstLineChars="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8"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405"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264"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1608" w:type="dxa"/>
          </w:tcPr>
          <w:p>
            <w:pPr>
              <w:widowControl/>
              <w:spacing w:after="156" w:afterLines="50" w:line="400" w:lineRule="exact"/>
              <w:ind w:firstLine="480" w:firstLineChars="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8"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405"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2264" w:type="dxa"/>
            <w:noWrap/>
          </w:tcPr>
          <w:p>
            <w:pPr>
              <w:widowControl/>
              <w:spacing w:after="156" w:afterLines="50" w:line="400" w:lineRule="exact"/>
              <w:ind w:firstLine="480" w:firstLineChars="200"/>
              <w:jc w:val="left"/>
              <w:rPr>
                <w:rFonts w:cs="宋体" w:asciiTheme="minorEastAsia" w:hAnsiTheme="minorEastAsia"/>
                <w:kern w:val="0"/>
                <w:sz w:val="24"/>
                <w:szCs w:val="24"/>
              </w:rPr>
            </w:pPr>
          </w:p>
        </w:tc>
        <w:tc>
          <w:tcPr>
            <w:tcW w:w="1608" w:type="dxa"/>
          </w:tcPr>
          <w:p>
            <w:pPr>
              <w:widowControl/>
              <w:spacing w:after="156" w:afterLines="50" w:line="400" w:lineRule="exact"/>
              <w:ind w:firstLine="480" w:firstLineChars="200"/>
              <w:jc w:val="left"/>
              <w:rPr>
                <w:rFonts w:cs="宋体" w:asciiTheme="minorEastAsia" w:hAnsiTheme="minorEastAsia"/>
                <w:kern w:val="0"/>
                <w:sz w:val="24"/>
                <w:szCs w:val="24"/>
              </w:rPr>
            </w:pPr>
          </w:p>
        </w:tc>
      </w:tr>
    </w:tbl>
    <w:p>
      <w:pPr>
        <w:spacing w:after="156" w:afterLines="50" w:line="400" w:lineRule="exact"/>
        <w:jc w:val="left"/>
        <w:rPr>
          <w:rFonts w:asciiTheme="minorEastAsia" w:hAnsiTheme="minorEastAsia"/>
          <w:kern w:val="28"/>
          <w:sz w:val="24"/>
        </w:rPr>
      </w:pPr>
    </w:p>
    <w:p>
      <w:pPr>
        <w:spacing w:after="156" w:afterLines="50" w:line="400" w:lineRule="exact"/>
        <w:ind w:firstLine="480" w:firstLineChars="200"/>
        <w:jc w:val="left"/>
        <w:rPr>
          <w:rFonts w:asciiTheme="minorEastAsia" w:hAnsiTheme="minorEastAsia"/>
          <w:sz w:val="24"/>
          <w:szCs w:val="24"/>
        </w:rPr>
      </w:pPr>
      <w:r>
        <w:rPr>
          <w:rFonts w:hint="eastAsia" w:asciiTheme="minorEastAsia" w:hAnsiTheme="minorEastAsia"/>
          <w:kern w:val="28"/>
          <w:sz w:val="24"/>
        </w:rPr>
        <w:t>附件3：</w:t>
      </w:r>
      <w:r>
        <w:rPr>
          <w:rFonts w:hint="eastAsia" w:asciiTheme="minorEastAsia" w:hAnsiTheme="minorEastAsia"/>
          <w:kern w:val="0"/>
          <w:sz w:val="24"/>
        </w:rPr>
        <w:t>《工作组成员岗位要求》</w:t>
      </w:r>
    </w:p>
    <w:tbl>
      <w:tblPr>
        <w:tblStyle w:val="10"/>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371"/>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089" w:type="dxa"/>
            <w:gridSpan w:val="3"/>
            <w:shd w:val="clear" w:color="auto" w:fill="C0C0C0"/>
            <w:noWrap/>
            <w:vAlign w:val="center"/>
          </w:tcPr>
          <w:p>
            <w:pPr>
              <w:widowControl/>
              <w:spacing w:after="156" w:afterLines="50" w:line="400" w:lineRule="exact"/>
              <w:ind w:firstLine="200"/>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工作组成员岗位要求</w:t>
            </w:r>
            <w:r>
              <w:rPr>
                <w:rFonts w:cs="宋体" w:asciiTheme="minorEastAsia" w:hAnsiTheme="minorEastAsia"/>
                <w:b/>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岗位</w:t>
            </w:r>
          </w:p>
        </w:tc>
        <w:tc>
          <w:tcPr>
            <w:tcW w:w="7371" w:type="dxa"/>
            <w:noWrap/>
            <w:vAlign w:val="center"/>
          </w:tcPr>
          <w:p>
            <w:pPr>
              <w:widowControl/>
              <w:spacing w:after="156" w:afterLines="50" w:line="400" w:lineRule="exact"/>
              <w:ind w:firstLine="200"/>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岗位要求</w:t>
            </w:r>
          </w:p>
        </w:tc>
        <w:tc>
          <w:tcPr>
            <w:tcW w:w="1163" w:type="dxa"/>
            <w:noWrap/>
            <w:vAlign w:val="center"/>
          </w:tcPr>
          <w:p>
            <w:pPr>
              <w:widowControl/>
              <w:spacing w:after="156" w:afterLines="50" w:line="400" w:lineRule="exact"/>
              <w:ind w:firstLine="200"/>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营销总监</w:t>
            </w: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本科及以上学历，≥</w:t>
            </w:r>
            <w:r>
              <w:rPr>
                <w:rFonts w:cs="宋体" w:asciiTheme="minorEastAsia" w:hAnsiTheme="minorEastAsia"/>
                <w:kern w:val="0"/>
                <w:sz w:val="24"/>
                <w:szCs w:val="24"/>
              </w:rPr>
              <w:t>10年房地产</w:t>
            </w:r>
            <w:r>
              <w:rPr>
                <w:rFonts w:hint="eastAsia" w:cs="宋体" w:asciiTheme="minorEastAsia" w:hAnsiTheme="minorEastAsia"/>
                <w:kern w:val="0"/>
                <w:sz w:val="24"/>
                <w:szCs w:val="24"/>
              </w:rPr>
              <w:t>营销工作经验，其中≥</w:t>
            </w:r>
            <w:r>
              <w:rPr>
                <w:rFonts w:cs="宋体" w:asciiTheme="minorEastAsia" w:hAnsiTheme="minorEastAsia"/>
                <w:kern w:val="0"/>
                <w:sz w:val="24"/>
                <w:szCs w:val="24"/>
              </w:rPr>
              <w:t>3</w:t>
            </w:r>
            <w:r>
              <w:rPr>
                <w:rFonts w:hint="eastAsia" w:cs="宋体" w:asciiTheme="minorEastAsia" w:hAnsiTheme="minorEastAsia"/>
                <w:kern w:val="0"/>
                <w:sz w:val="24"/>
                <w:szCs w:val="24"/>
              </w:rPr>
              <w:t>年及以上同等职位从业经验，≥</w:t>
            </w:r>
            <w:r>
              <w:rPr>
                <w:rFonts w:cs="宋体" w:asciiTheme="minorEastAsia" w:hAnsiTheme="minorEastAsia"/>
                <w:kern w:val="0"/>
                <w:sz w:val="24"/>
                <w:szCs w:val="24"/>
              </w:rPr>
              <w:t>5</w:t>
            </w:r>
            <w:r>
              <w:rPr>
                <w:rFonts w:hint="eastAsia" w:cs="宋体" w:asciiTheme="minorEastAsia" w:hAnsiTheme="minorEastAsia"/>
                <w:kern w:val="0"/>
                <w:sz w:val="24"/>
                <w:szCs w:val="24"/>
              </w:rPr>
              <w:t>个类似大型项目成功操盘案例。</w:t>
            </w: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驻场高级销售经理</w:t>
            </w: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大专及以上学历，≥</w:t>
            </w:r>
            <w:r>
              <w:rPr>
                <w:rFonts w:cs="宋体" w:asciiTheme="minorEastAsia" w:hAnsiTheme="minorEastAsia"/>
                <w:kern w:val="0"/>
                <w:sz w:val="24"/>
                <w:szCs w:val="24"/>
              </w:rPr>
              <w:t>6</w:t>
            </w:r>
            <w:r>
              <w:rPr>
                <w:rFonts w:hint="eastAsia" w:cs="宋体" w:asciiTheme="minorEastAsia" w:hAnsiTheme="minorEastAsia"/>
                <w:kern w:val="0"/>
                <w:sz w:val="24"/>
                <w:szCs w:val="24"/>
              </w:rPr>
              <w:t>年房地产销售工作经验，其中≥</w:t>
            </w:r>
            <w:r>
              <w:rPr>
                <w:rFonts w:cs="宋体" w:asciiTheme="minorEastAsia" w:hAnsiTheme="minorEastAsia"/>
                <w:kern w:val="0"/>
                <w:sz w:val="24"/>
                <w:szCs w:val="24"/>
              </w:rPr>
              <w:t>3</w:t>
            </w:r>
            <w:r>
              <w:rPr>
                <w:rFonts w:hint="eastAsia" w:cs="宋体" w:asciiTheme="minorEastAsia" w:hAnsiTheme="minorEastAsia"/>
                <w:kern w:val="0"/>
                <w:sz w:val="24"/>
                <w:szCs w:val="24"/>
              </w:rPr>
              <w:t>年及以上同等职位从业经验，≥</w:t>
            </w:r>
            <w:r>
              <w:rPr>
                <w:rFonts w:cs="宋体" w:asciiTheme="minorEastAsia" w:hAnsiTheme="minorEastAsia"/>
                <w:kern w:val="0"/>
                <w:sz w:val="24"/>
                <w:szCs w:val="24"/>
              </w:rPr>
              <w:t>3</w:t>
            </w:r>
            <w:r>
              <w:rPr>
                <w:rFonts w:hint="eastAsia" w:cs="宋体" w:asciiTheme="minorEastAsia" w:hAnsiTheme="minorEastAsia"/>
                <w:kern w:val="0"/>
                <w:sz w:val="24"/>
                <w:szCs w:val="24"/>
              </w:rPr>
              <w:t>个类似大型项目独立管理成功案例。</w:t>
            </w: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驻场高级策划经理</w:t>
            </w: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本科及以上学历，≥</w:t>
            </w:r>
            <w:r>
              <w:rPr>
                <w:rFonts w:cs="宋体" w:asciiTheme="minorEastAsia" w:hAnsiTheme="minorEastAsia"/>
                <w:kern w:val="0"/>
                <w:sz w:val="24"/>
                <w:szCs w:val="24"/>
              </w:rPr>
              <w:t>6年房地产</w:t>
            </w:r>
            <w:r>
              <w:rPr>
                <w:rFonts w:hint="eastAsia" w:cs="宋体" w:asciiTheme="minorEastAsia" w:hAnsiTheme="minorEastAsia"/>
                <w:kern w:val="0"/>
                <w:sz w:val="24"/>
                <w:szCs w:val="24"/>
              </w:rPr>
              <w:t>策划工作经验，其中≥</w:t>
            </w:r>
            <w:r>
              <w:rPr>
                <w:rFonts w:cs="宋体" w:asciiTheme="minorEastAsia" w:hAnsiTheme="minorEastAsia"/>
                <w:kern w:val="0"/>
                <w:sz w:val="24"/>
                <w:szCs w:val="24"/>
              </w:rPr>
              <w:t>3年及以上同等职位从业经验，≥3</w:t>
            </w:r>
            <w:r>
              <w:rPr>
                <w:rFonts w:hint="eastAsia" w:cs="宋体" w:asciiTheme="minorEastAsia" w:hAnsiTheme="minorEastAsia"/>
                <w:kern w:val="0"/>
                <w:sz w:val="24"/>
                <w:szCs w:val="24"/>
              </w:rPr>
              <w:t>个类似大型项目独立策划成功案例。</w:t>
            </w: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驻场高级销售主任</w:t>
            </w: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4</w:t>
            </w:r>
            <w:r>
              <w:rPr>
                <w:rFonts w:hint="eastAsia" w:cs="宋体" w:asciiTheme="minorEastAsia" w:hAnsiTheme="minorEastAsia"/>
                <w:kern w:val="0"/>
                <w:sz w:val="24"/>
                <w:szCs w:val="24"/>
              </w:rPr>
              <w:t>年房地产销售工作经验，其中≥</w:t>
            </w:r>
            <w:r>
              <w:rPr>
                <w:rFonts w:cs="宋体" w:asciiTheme="minorEastAsia" w:hAnsiTheme="minorEastAsia"/>
                <w:kern w:val="0"/>
                <w:sz w:val="24"/>
                <w:szCs w:val="24"/>
              </w:rPr>
              <w:t>2</w:t>
            </w:r>
            <w:r>
              <w:rPr>
                <w:rFonts w:hint="eastAsia" w:cs="宋体" w:asciiTheme="minorEastAsia" w:hAnsiTheme="minorEastAsia"/>
                <w:kern w:val="0"/>
                <w:sz w:val="24"/>
                <w:szCs w:val="24"/>
              </w:rPr>
              <w:t>年及以上同等职位从业经验，≥</w:t>
            </w:r>
            <w:r>
              <w:rPr>
                <w:rFonts w:cs="宋体" w:asciiTheme="minorEastAsia" w:hAnsiTheme="minorEastAsia"/>
                <w:kern w:val="0"/>
                <w:sz w:val="24"/>
                <w:szCs w:val="24"/>
              </w:rPr>
              <w:t>2</w:t>
            </w:r>
            <w:r>
              <w:rPr>
                <w:rFonts w:hint="eastAsia" w:cs="宋体" w:asciiTheme="minorEastAsia" w:hAnsiTheme="minorEastAsia"/>
                <w:kern w:val="0"/>
                <w:sz w:val="24"/>
                <w:szCs w:val="24"/>
              </w:rPr>
              <w:t>个类似大型项目销售管理成功案例。</w:t>
            </w: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驻场高级策划主任</w:t>
            </w: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本科学历，≥</w:t>
            </w:r>
            <w:r>
              <w:rPr>
                <w:rFonts w:cs="宋体" w:asciiTheme="minorEastAsia" w:hAnsiTheme="minorEastAsia"/>
                <w:kern w:val="0"/>
                <w:sz w:val="24"/>
                <w:szCs w:val="24"/>
              </w:rPr>
              <w:t>4年房地产</w:t>
            </w:r>
            <w:r>
              <w:rPr>
                <w:rFonts w:hint="eastAsia" w:cs="宋体" w:asciiTheme="minorEastAsia" w:hAnsiTheme="minorEastAsia"/>
                <w:kern w:val="0"/>
                <w:sz w:val="24"/>
                <w:szCs w:val="24"/>
              </w:rPr>
              <w:t>策划工作经验，其中≥</w:t>
            </w:r>
            <w:r>
              <w:rPr>
                <w:rFonts w:cs="宋体" w:asciiTheme="minorEastAsia" w:hAnsiTheme="minorEastAsia"/>
                <w:kern w:val="0"/>
                <w:sz w:val="24"/>
                <w:szCs w:val="24"/>
              </w:rPr>
              <w:t>2年及以上同等职位从业经验，≥2个类似大型项目</w:t>
            </w:r>
            <w:r>
              <w:rPr>
                <w:rFonts w:hint="eastAsia" w:cs="宋体" w:asciiTheme="minorEastAsia" w:hAnsiTheme="minorEastAsia"/>
                <w:kern w:val="0"/>
                <w:sz w:val="24"/>
                <w:szCs w:val="24"/>
              </w:rPr>
              <w:t>策划成功案例。</w:t>
            </w: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驻场高级策划专员</w:t>
            </w: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本科学历，≥</w:t>
            </w:r>
            <w:r>
              <w:rPr>
                <w:rFonts w:cs="宋体" w:asciiTheme="minorEastAsia" w:hAnsiTheme="minorEastAsia"/>
                <w:kern w:val="0"/>
                <w:sz w:val="24"/>
                <w:szCs w:val="24"/>
              </w:rPr>
              <w:t>3</w:t>
            </w:r>
            <w:r>
              <w:rPr>
                <w:rFonts w:hint="eastAsia" w:cs="宋体" w:asciiTheme="minorEastAsia" w:hAnsiTheme="minorEastAsia"/>
                <w:kern w:val="0"/>
                <w:sz w:val="24"/>
                <w:szCs w:val="24"/>
              </w:rPr>
              <w:t>年房地产策划工作经验，有参与类似大型项目策划成功案例。</w:t>
            </w: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销售人员</w:t>
            </w: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2</w:t>
            </w:r>
            <w:r>
              <w:rPr>
                <w:rFonts w:hint="eastAsia" w:cs="宋体" w:asciiTheme="minorEastAsia" w:hAnsiTheme="minorEastAsia"/>
                <w:kern w:val="0"/>
                <w:sz w:val="24"/>
                <w:szCs w:val="24"/>
              </w:rPr>
              <w:t>年房地产销售工作经验，有类似大型项目销售成功案例，过往销售业绩佳。</w:t>
            </w: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55"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c>
          <w:tcPr>
            <w:tcW w:w="7371"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c>
          <w:tcPr>
            <w:tcW w:w="1163" w:type="dxa"/>
            <w:noWrap/>
            <w:vAlign w:val="center"/>
          </w:tcPr>
          <w:p>
            <w:pPr>
              <w:widowControl/>
              <w:spacing w:after="156" w:afterLines="50" w:line="400" w:lineRule="exact"/>
              <w:ind w:firstLine="200"/>
              <w:jc w:val="left"/>
              <w:rPr>
                <w:rFonts w:cs="宋体" w:asciiTheme="minorEastAsia" w:hAnsiTheme="minorEastAsia"/>
                <w:kern w:val="0"/>
                <w:sz w:val="24"/>
                <w:szCs w:val="24"/>
              </w:rPr>
            </w:pPr>
          </w:p>
        </w:tc>
      </w:tr>
    </w:tbl>
    <w:p>
      <w:pPr>
        <w:rPr>
          <w:rFonts w:ascii="宋体" w:hAnsi="宋体"/>
          <w:color w:val="000000"/>
          <w:szCs w:val="21"/>
        </w:rPr>
      </w:pPr>
    </w:p>
    <w:sectPr>
      <w:headerReference r:id="rId3" w:type="default"/>
      <w:footerReference r:id="rId4" w:type="default"/>
      <w:pgSz w:w="11906" w:h="16838"/>
      <w:pgMar w:top="1440" w:right="1701"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52578"/>
      <w:docPartObj>
        <w:docPartGallery w:val="autotext"/>
      </w:docPartObj>
    </w:sdtPr>
    <w:sdtContent>
      <w:sdt>
        <w:sdtPr>
          <w:id w:val="32452579"/>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19</w:t>
            </w:r>
            <w:r>
              <w:rPr>
                <w:b/>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rPr>
      <w:t>广州市凯科星贸房地产开发有限公司星贸</w:t>
    </w:r>
    <w:r>
      <w:t>项目</w:t>
    </w:r>
    <w:r>
      <w:rPr>
        <w:rFonts w:hint="eastAsia"/>
      </w:rPr>
      <w:t>案场独家策划销售代理合同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40FFB"/>
    <w:multiLevelType w:val="multilevel"/>
    <w:tmpl w:val="08140FFB"/>
    <w:lvl w:ilvl="0" w:tentative="0">
      <w:start w:val="3"/>
      <w:numFmt w:val="japaneseCounting"/>
      <w:lvlText w:val="%1、"/>
      <w:lvlJc w:val="left"/>
      <w:pPr>
        <w:ind w:left="510" w:hanging="510"/>
      </w:pPr>
      <w:rPr>
        <w:rFonts w:hint="default" w:ascii="宋体" w:hAnsi="宋体" w:eastAsia="宋体"/>
        <w:b/>
        <w:color w:val="auto"/>
      </w:rPr>
    </w:lvl>
    <w:lvl w:ilvl="1" w:tentative="0">
      <w:start w:val="1"/>
      <w:numFmt w:val="lowerLetter"/>
      <w:lvlText w:val="%2)"/>
      <w:lvlJc w:val="left"/>
      <w:pPr>
        <w:ind w:left="840" w:hanging="420"/>
      </w:pPr>
    </w:lvl>
    <w:lvl w:ilvl="2" w:tentative="0">
      <w:start w:val="1"/>
      <w:numFmt w:val="decimalEnclosedCircle"/>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946417"/>
    <w:multiLevelType w:val="multilevel"/>
    <w:tmpl w:val="609464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31"/>
    <w:rsid w:val="00002C7F"/>
    <w:rsid w:val="000037D3"/>
    <w:rsid w:val="00003C94"/>
    <w:rsid w:val="00006294"/>
    <w:rsid w:val="000104EC"/>
    <w:rsid w:val="00011B3B"/>
    <w:rsid w:val="0001225A"/>
    <w:rsid w:val="0001729F"/>
    <w:rsid w:val="000212B7"/>
    <w:rsid w:val="00022EEE"/>
    <w:rsid w:val="00032B30"/>
    <w:rsid w:val="00034BC4"/>
    <w:rsid w:val="00035168"/>
    <w:rsid w:val="00041701"/>
    <w:rsid w:val="00041A67"/>
    <w:rsid w:val="00044A39"/>
    <w:rsid w:val="00044B89"/>
    <w:rsid w:val="000451A8"/>
    <w:rsid w:val="00046DA7"/>
    <w:rsid w:val="00047428"/>
    <w:rsid w:val="000513EC"/>
    <w:rsid w:val="00052CC3"/>
    <w:rsid w:val="00054027"/>
    <w:rsid w:val="00055C22"/>
    <w:rsid w:val="00056F95"/>
    <w:rsid w:val="00063442"/>
    <w:rsid w:val="00063835"/>
    <w:rsid w:val="000640B0"/>
    <w:rsid w:val="00064E2F"/>
    <w:rsid w:val="000676B8"/>
    <w:rsid w:val="00067B27"/>
    <w:rsid w:val="00067ECF"/>
    <w:rsid w:val="000729A1"/>
    <w:rsid w:val="00075FB7"/>
    <w:rsid w:val="00081090"/>
    <w:rsid w:val="000837F9"/>
    <w:rsid w:val="000867E2"/>
    <w:rsid w:val="00090B1F"/>
    <w:rsid w:val="00090CF7"/>
    <w:rsid w:val="00091957"/>
    <w:rsid w:val="00096BEE"/>
    <w:rsid w:val="00097B21"/>
    <w:rsid w:val="000A108A"/>
    <w:rsid w:val="000A1F0B"/>
    <w:rsid w:val="000A21C9"/>
    <w:rsid w:val="000A2FEB"/>
    <w:rsid w:val="000A348C"/>
    <w:rsid w:val="000A60FF"/>
    <w:rsid w:val="000B0370"/>
    <w:rsid w:val="000B12F6"/>
    <w:rsid w:val="000B36C7"/>
    <w:rsid w:val="000B40D9"/>
    <w:rsid w:val="000B4456"/>
    <w:rsid w:val="000B590D"/>
    <w:rsid w:val="000B5B03"/>
    <w:rsid w:val="000B5F3B"/>
    <w:rsid w:val="000B66D9"/>
    <w:rsid w:val="000C391F"/>
    <w:rsid w:val="000C47AA"/>
    <w:rsid w:val="000C6A7B"/>
    <w:rsid w:val="000C6F3E"/>
    <w:rsid w:val="000C7271"/>
    <w:rsid w:val="000D2083"/>
    <w:rsid w:val="000D31D7"/>
    <w:rsid w:val="000D57D7"/>
    <w:rsid w:val="000D5DAF"/>
    <w:rsid w:val="000D6A35"/>
    <w:rsid w:val="000E049C"/>
    <w:rsid w:val="000E28DF"/>
    <w:rsid w:val="000E5843"/>
    <w:rsid w:val="000E73BA"/>
    <w:rsid w:val="000F0690"/>
    <w:rsid w:val="000F0B44"/>
    <w:rsid w:val="000F1B7C"/>
    <w:rsid w:val="000F4DDE"/>
    <w:rsid w:val="000F5389"/>
    <w:rsid w:val="000F61B7"/>
    <w:rsid w:val="000F6ECA"/>
    <w:rsid w:val="000F7BDC"/>
    <w:rsid w:val="00101E9D"/>
    <w:rsid w:val="0010225E"/>
    <w:rsid w:val="00104E12"/>
    <w:rsid w:val="0010665C"/>
    <w:rsid w:val="001069F3"/>
    <w:rsid w:val="00106EB7"/>
    <w:rsid w:val="00113580"/>
    <w:rsid w:val="0011620D"/>
    <w:rsid w:val="001174E1"/>
    <w:rsid w:val="0012001D"/>
    <w:rsid w:val="001209ED"/>
    <w:rsid w:val="00121DDA"/>
    <w:rsid w:val="0012262F"/>
    <w:rsid w:val="00122A13"/>
    <w:rsid w:val="00124290"/>
    <w:rsid w:val="00124524"/>
    <w:rsid w:val="00130C98"/>
    <w:rsid w:val="001312AB"/>
    <w:rsid w:val="00131B79"/>
    <w:rsid w:val="001320B5"/>
    <w:rsid w:val="00135613"/>
    <w:rsid w:val="0013603C"/>
    <w:rsid w:val="00136424"/>
    <w:rsid w:val="0013689A"/>
    <w:rsid w:val="00137031"/>
    <w:rsid w:val="001400F9"/>
    <w:rsid w:val="001411F0"/>
    <w:rsid w:val="00142617"/>
    <w:rsid w:val="00142B98"/>
    <w:rsid w:val="00142BA1"/>
    <w:rsid w:val="00146588"/>
    <w:rsid w:val="00147E2B"/>
    <w:rsid w:val="00154CD2"/>
    <w:rsid w:val="001563B7"/>
    <w:rsid w:val="00162900"/>
    <w:rsid w:val="00162A2D"/>
    <w:rsid w:val="00163657"/>
    <w:rsid w:val="00163C0C"/>
    <w:rsid w:val="00164C3B"/>
    <w:rsid w:val="001665D5"/>
    <w:rsid w:val="00166A3C"/>
    <w:rsid w:val="00167103"/>
    <w:rsid w:val="0016791E"/>
    <w:rsid w:val="00167E67"/>
    <w:rsid w:val="0017104C"/>
    <w:rsid w:val="00172EFB"/>
    <w:rsid w:val="001759AA"/>
    <w:rsid w:val="001768E2"/>
    <w:rsid w:val="0018123C"/>
    <w:rsid w:val="0019003C"/>
    <w:rsid w:val="00190068"/>
    <w:rsid w:val="00191414"/>
    <w:rsid w:val="00191EF6"/>
    <w:rsid w:val="0019710B"/>
    <w:rsid w:val="0019720E"/>
    <w:rsid w:val="00197961"/>
    <w:rsid w:val="001A4B2F"/>
    <w:rsid w:val="001A6002"/>
    <w:rsid w:val="001A79B2"/>
    <w:rsid w:val="001B00CD"/>
    <w:rsid w:val="001B11D2"/>
    <w:rsid w:val="001B196D"/>
    <w:rsid w:val="001B5F08"/>
    <w:rsid w:val="001B6486"/>
    <w:rsid w:val="001B728B"/>
    <w:rsid w:val="001B746C"/>
    <w:rsid w:val="001C0E95"/>
    <w:rsid w:val="001C355C"/>
    <w:rsid w:val="001C5830"/>
    <w:rsid w:val="001C5DB8"/>
    <w:rsid w:val="001C5E20"/>
    <w:rsid w:val="001C7C4C"/>
    <w:rsid w:val="001D6148"/>
    <w:rsid w:val="001D675E"/>
    <w:rsid w:val="001D70BA"/>
    <w:rsid w:val="001E132E"/>
    <w:rsid w:val="001F0090"/>
    <w:rsid w:val="001F2D62"/>
    <w:rsid w:val="001F582F"/>
    <w:rsid w:val="001F5B3D"/>
    <w:rsid w:val="002003E5"/>
    <w:rsid w:val="00200F26"/>
    <w:rsid w:val="002023DE"/>
    <w:rsid w:val="00203190"/>
    <w:rsid w:val="00203602"/>
    <w:rsid w:val="00204A37"/>
    <w:rsid w:val="002106B0"/>
    <w:rsid w:val="002146BF"/>
    <w:rsid w:val="00214792"/>
    <w:rsid w:val="002151B5"/>
    <w:rsid w:val="002159CB"/>
    <w:rsid w:val="00215DCA"/>
    <w:rsid w:val="00217E87"/>
    <w:rsid w:val="00221CB9"/>
    <w:rsid w:val="002247BD"/>
    <w:rsid w:val="00225238"/>
    <w:rsid w:val="002262D4"/>
    <w:rsid w:val="00226A31"/>
    <w:rsid w:val="00227A66"/>
    <w:rsid w:val="00227BFF"/>
    <w:rsid w:val="002312EC"/>
    <w:rsid w:val="002338A4"/>
    <w:rsid w:val="00233D6B"/>
    <w:rsid w:val="00235B4A"/>
    <w:rsid w:val="00235D3F"/>
    <w:rsid w:val="002419D3"/>
    <w:rsid w:val="002436A1"/>
    <w:rsid w:val="00244742"/>
    <w:rsid w:val="00247B74"/>
    <w:rsid w:val="002517CF"/>
    <w:rsid w:val="00253D22"/>
    <w:rsid w:val="00253EB3"/>
    <w:rsid w:val="002570BA"/>
    <w:rsid w:val="00257D37"/>
    <w:rsid w:val="0026157F"/>
    <w:rsid w:val="00263929"/>
    <w:rsid w:val="00263C93"/>
    <w:rsid w:val="00263FFE"/>
    <w:rsid w:val="00264147"/>
    <w:rsid w:val="00264B70"/>
    <w:rsid w:val="002666C4"/>
    <w:rsid w:val="0026745A"/>
    <w:rsid w:val="00270DD3"/>
    <w:rsid w:val="002712E5"/>
    <w:rsid w:val="00271EC1"/>
    <w:rsid w:val="002759C9"/>
    <w:rsid w:val="002817A2"/>
    <w:rsid w:val="00282B62"/>
    <w:rsid w:val="00282F6A"/>
    <w:rsid w:val="00283C4B"/>
    <w:rsid w:val="00284369"/>
    <w:rsid w:val="0028475B"/>
    <w:rsid w:val="002847AF"/>
    <w:rsid w:val="00286203"/>
    <w:rsid w:val="0029099C"/>
    <w:rsid w:val="0029101A"/>
    <w:rsid w:val="0029202A"/>
    <w:rsid w:val="00293B8F"/>
    <w:rsid w:val="002958C7"/>
    <w:rsid w:val="002A0375"/>
    <w:rsid w:val="002A4CEA"/>
    <w:rsid w:val="002B1261"/>
    <w:rsid w:val="002B3D1D"/>
    <w:rsid w:val="002C0995"/>
    <w:rsid w:val="002C3A8C"/>
    <w:rsid w:val="002C43F5"/>
    <w:rsid w:val="002C72E7"/>
    <w:rsid w:val="002C780B"/>
    <w:rsid w:val="002C7AAF"/>
    <w:rsid w:val="002D0C93"/>
    <w:rsid w:val="002D0EFA"/>
    <w:rsid w:val="002D1917"/>
    <w:rsid w:val="002D1DA8"/>
    <w:rsid w:val="002D25A3"/>
    <w:rsid w:val="002D5D0D"/>
    <w:rsid w:val="002D657B"/>
    <w:rsid w:val="002D7E0B"/>
    <w:rsid w:val="002E19FA"/>
    <w:rsid w:val="002E1FD7"/>
    <w:rsid w:val="002E24A1"/>
    <w:rsid w:val="002E6A2E"/>
    <w:rsid w:val="002F0BA9"/>
    <w:rsid w:val="002F132E"/>
    <w:rsid w:val="002F46AF"/>
    <w:rsid w:val="002F4F97"/>
    <w:rsid w:val="002F564A"/>
    <w:rsid w:val="002F56EF"/>
    <w:rsid w:val="002F5F9C"/>
    <w:rsid w:val="002F7B80"/>
    <w:rsid w:val="00300482"/>
    <w:rsid w:val="00303048"/>
    <w:rsid w:val="00303672"/>
    <w:rsid w:val="003044EC"/>
    <w:rsid w:val="00305749"/>
    <w:rsid w:val="003112AD"/>
    <w:rsid w:val="003145C2"/>
    <w:rsid w:val="00315110"/>
    <w:rsid w:val="00316AED"/>
    <w:rsid w:val="00316B0E"/>
    <w:rsid w:val="0031768A"/>
    <w:rsid w:val="00320441"/>
    <w:rsid w:val="00322335"/>
    <w:rsid w:val="00322365"/>
    <w:rsid w:val="00323BE6"/>
    <w:rsid w:val="00326658"/>
    <w:rsid w:val="003274C0"/>
    <w:rsid w:val="003316F4"/>
    <w:rsid w:val="00332E6B"/>
    <w:rsid w:val="003341A1"/>
    <w:rsid w:val="003344DA"/>
    <w:rsid w:val="003355EB"/>
    <w:rsid w:val="00335702"/>
    <w:rsid w:val="00342FC4"/>
    <w:rsid w:val="0034449B"/>
    <w:rsid w:val="003447AF"/>
    <w:rsid w:val="00346AE0"/>
    <w:rsid w:val="00346FA8"/>
    <w:rsid w:val="00352587"/>
    <w:rsid w:val="00355BC1"/>
    <w:rsid w:val="003570DA"/>
    <w:rsid w:val="003576DC"/>
    <w:rsid w:val="00360E5C"/>
    <w:rsid w:val="0036398E"/>
    <w:rsid w:val="00363D21"/>
    <w:rsid w:val="003645B8"/>
    <w:rsid w:val="0036530C"/>
    <w:rsid w:val="0036694B"/>
    <w:rsid w:val="00375232"/>
    <w:rsid w:val="0037571C"/>
    <w:rsid w:val="00380102"/>
    <w:rsid w:val="003822E3"/>
    <w:rsid w:val="00382E88"/>
    <w:rsid w:val="003848B1"/>
    <w:rsid w:val="00384ABB"/>
    <w:rsid w:val="00384CD7"/>
    <w:rsid w:val="00387D05"/>
    <w:rsid w:val="00390501"/>
    <w:rsid w:val="00393584"/>
    <w:rsid w:val="00394FD4"/>
    <w:rsid w:val="0039798A"/>
    <w:rsid w:val="003A06CE"/>
    <w:rsid w:val="003A1694"/>
    <w:rsid w:val="003A198C"/>
    <w:rsid w:val="003A2FF0"/>
    <w:rsid w:val="003A5D85"/>
    <w:rsid w:val="003A64A1"/>
    <w:rsid w:val="003A6B4C"/>
    <w:rsid w:val="003A6D42"/>
    <w:rsid w:val="003A7345"/>
    <w:rsid w:val="003B273F"/>
    <w:rsid w:val="003B28A6"/>
    <w:rsid w:val="003B430F"/>
    <w:rsid w:val="003B467D"/>
    <w:rsid w:val="003B5A23"/>
    <w:rsid w:val="003C0523"/>
    <w:rsid w:val="003C1CB7"/>
    <w:rsid w:val="003C2882"/>
    <w:rsid w:val="003C29A8"/>
    <w:rsid w:val="003C309F"/>
    <w:rsid w:val="003C46E7"/>
    <w:rsid w:val="003C5800"/>
    <w:rsid w:val="003C793F"/>
    <w:rsid w:val="003D039E"/>
    <w:rsid w:val="003D18A5"/>
    <w:rsid w:val="003D23B3"/>
    <w:rsid w:val="003D3049"/>
    <w:rsid w:val="003D4429"/>
    <w:rsid w:val="003D4498"/>
    <w:rsid w:val="003D4529"/>
    <w:rsid w:val="003D5F6D"/>
    <w:rsid w:val="003D67B6"/>
    <w:rsid w:val="003E1D19"/>
    <w:rsid w:val="003E2B44"/>
    <w:rsid w:val="003E3971"/>
    <w:rsid w:val="003E4DEA"/>
    <w:rsid w:val="003E4EA5"/>
    <w:rsid w:val="003F1D6B"/>
    <w:rsid w:val="003F2F4E"/>
    <w:rsid w:val="003F4ABF"/>
    <w:rsid w:val="003F685C"/>
    <w:rsid w:val="00402D8C"/>
    <w:rsid w:val="0041025E"/>
    <w:rsid w:val="00410D37"/>
    <w:rsid w:val="00411497"/>
    <w:rsid w:val="00412CAF"/>
    <w:rsid w:val="004153A9"/>
    <w:rsid w:val="004357A9"/>
    <w:rsid w:val="00440F7A"/>
    <w:rsid w:val="004458C0"/>
    <w:rsid w:val="00445FCE"/>
    <w:rsid w:val="00446007"/>
    <w:rsid w:val="0044613B"/>
    <w:rsid w:val="00451063"/>
    <w:rsid w:val="004510C8"/>
    <w:rsid w:val="0045201A"/>
    <w:rsid w:val="004558C3"/>
    <w:rsid w:val="00457128"/>
    <w:rsid w:val="00457443"/>
    <w:rsid w:val="004608EF"/>
    <w:rsid w:val="004618A9"/>
    <w:rsid w:val="0046201E"/>
    <w:rsid w:val="004629BA"/>
    <w:rsid w:val="00462C55"/>
    <w:rsid w:val="00463EDC"/>
    <w:rsid w:val="00466683"/>
    <w:rsid w:val="0046701B"/>
    <w:rsid w:val="00467826"/>
    <w:rsid w:val="004706F4"/>
    <w:rsid w:val="00472D51"/>
    <w:rsid w:val="00474519"/>
    <w:rsid w:val="0047499C"/>
    <w:rsid w:val="0047534D"/>
    <w:rsid w:val="00477080"/>
    <w:rsid w:val="00480982"/>
    <w:rsid w:val="0048186D"/>
    <w:rsid w:val="004853B5"/>
    <w:rsid w:val="00485419"/>
    <w:rsid w:val="0048548D"/>
    <w:rsid w:val="00486D5F"/>
    <w:rsid w:val="00491CF7"/>
    <w:rsid w:val="004932AF"/>
    <w:rsid w:val="00493EDF"/>
    <w:rsid w:val="0049708B"/>
    <w:rsid w:val="00497629"/>
    <w:rsid w:val="004A0578"/>
    <w:rsid w:val="004A06E5"/>
    <w:rsid w:val="004A13CC"/>
    <w:rsid w:val="004A30BB"/>
    <w:rsid w:val="004A4BE5"/>
    <w:rsid w:val="004A6978"/>
    <w:rsid w:val="004B5301"/>
    <w:rsid w:val="004B5D1C"/>
    <w:rsid w:val="004B6409"/>
    <w:rsid w:val="004B700F"/>
    <w:rsid w:val="004C044A"/>
    <w:rsid w:val="004C1E38"/>
    <w:rsid w:val="004C2C00"/>
    <w:rsid w:val="004C2E85"/>
    <w:rsid w:val="004C3F22"/>
    <w:rsid w:val="004C40CE"/>
    <w:rsid w:val="004C437C"/>
    <w:rsid w:val="004C465E"/>
    <w:rsid w:val="004C5231"/>
    <w:rsid w:val="004C557A"/>
    <w:rsid w:val="004C77DF"/>
    <w:rsid w:val="004D192A"/>
    <w:rsid w:val="004D20FE"/>
    <w:rsid w:val="004D37CA"/>
    <w:rsid w:val="004D554B"/>
    <w:rsid w:val="004D7B8E"/>
    <w:rsid w:val="004E1FD9"/>
    <w:rsid w:val="004E35C8"/>
    <w:rsid w:val="004E609F"/>
    <w:rsid w:val="00501AFA"/>
    <w:rsid w:val="0050442E"/>
    <w:rsid w:val="005050D4"/>
    <w:rsid w:val="005065BB"/>
    <w:rsid w:val="00510953"/>
    <w:rsid w:val="005150C5"/>
    <w:rsid w:val="00515E63"/>
    <w:rsid w:val="00517158"/>
    <w:rsid w:val="00517292"/>
    <w:rsid w:val="00521939"/>
    <w:rsid w:val="005237B9"/>
    <w:rsid w:val="00523A8D"/>
    <w:rsid w:val="00523CFB"/>
    <w:rsid w:val="00524550"/>
    <w:rsid w:val="00524D8A"/>
    <w:rsid w:val="005261C5"/>
    <w:rsid w:val="00527555"/>
    <w:rsid w:val="00527F7F"/>
    <w:rsid w:val="00532663"/>
    <w:rsid w:val="00537675"/>
    <w:rsid w:val="005404E0"/>
    <w:rsid w:val="00541A15"/>
    <w:rsid w:val="00541D82"/>
    <w:rsid w:val="005426A8"/>
    <w:rsid w:val="00543F71"/>
    <w:rsid w:val="00545173"/>
    <w:rsid w:val="005454EA"/>
    <w:rsid w:val="005463D6"/>
    <w:rsid w:val="00546B06"/>
    <w:rsid w:val="00550400"/>
    <w:rsid w:val="00551B5B"/>
    <w:rsid w:val="005568D8"/>
    <w:rsid w:val="00557CAD"/>
    <w:rsid w:val="005660E0"/>
    <w:rsid w:val="00566348"/>
    <w:rsid w:val="00567C29"/>
    <w:rsid w:val="005706C9"/>
    <w:rsid w:val="00570767"/>
    <w:rsid w:val="005745BB"/>
    <w:rsid w:val="005772AA"/>
    <w:rsid w:val="00580B7F"/>
    <w:rsid w:val="00581AA0"/>
    <w:rsid w:val="0058325A"/>
    <w:rsid w:val="0058368D"/>
    <w:rsid w:val="00583859"/>
    <w:rsid w:val="00585B91"/>
    <w:rsid w:val="00587120"/>
    <w:rsid w:val="005878A8"/>
    <w:rsid w:val="00594D15"/>
    <w:rsid w:val="005957F8"/>
    <w:rsid w:val="00596DD2"/>
    <w:rsid w:val="00597980"/>
    <w:rsid w:val="005B04E1"/>
    <w:rsid w:val="005B05B2"/>
    <w:rsid w:val="005B3F9D"/>
    <w:rsid w:val="005B414F"/>
    <w:rsid w:val="005B50A3"/>
    <w:rsid w:val="005B65FD"/>
    <w:rsid w:val="005B7A06"/>
    <w:rsid w:val="005C02AE"/>
    <w:rsid w:val="005C0879"/>
    <w:rsid w:val="005C157D"/>
    <w:rsid w:val="005C3A07"/>
    <w:rsid w:val="005D0042"/>
    <w:rsid w:val="005D1E27"/>
    <w:rsid w:val="005D1F50"/>
    <w:rsid w:val="005D594A"/>
    <w:rsid w:val="005D70C4"/>
    <w:rsid w:val="005E02B9"/>
    <w:rsid w:val="005E3B65"/>
    <w:rsid w:val="005E3CF0"/>
    <w:rsid w:val="005E62D3"/>
    <w:rsid w:val="005F07C7"/>
    <w:rsid w:val="005F1CD4"/>
    <w:rsid w:val="005F2502"/>
    <w:rsid w:val="005F2BF2"/>
    <w:rsid w:val="005F4324"/>
    <w:rsid w:val="005F46CB"/>
    <w:rsid w:val="005F4823"/>
    <w:rsid w:val="005F50BE"/>
    <w:rsid w:val="005F7044"/>
    <w:rsid w:val="005F719D"/>
    <w:rsid w:val="005F77F3"/>
    <w:rsid w:val="005F7884"/>
    <w:rsid w:val="00602331"/>
    <w:rsid w:val="00603863"/>
    <w:rsid w:val="00607DEC"/>
    <w:rsid w:val="0061515D"/>
    <w:rsid w:val="0062218B"/>
    <w:rsid w:val="006228F0"/>
    <w:rsid w:val="0062408B"/>
    <w:rsid w:val="00626E4D"/>
    <w:rsid w:val="0062757F"/>
    <w:rsid w:val="00631EE8"/>
    <w:rsid w:val="00632523"/>
    <w:rsid w:val="0063319E"/>
    <w:rsid w:val="00634E96"/>
    <w:rsid w:val="00636802"/>
    <w:rsid w:val="0064126E"/>
    <w:rsid w:val="00650137"/>
    <w:rsid w:val="00652B5B"/>
    <w:rsid w:val="00652E35"/>
    <w:rsid w:val="006545A6"/>
    <w:rsid w:val="00655DED"/>
    <w:rsid w:val="006565D4"/>
    <w:rsid w:val="00656908"/>
    <w:rsid w:val="006569C1"/>
    <w:rsid w:val="00661254"/>
    <w:rsid w:val="00662671"/>
    <w:rsid w:val="00663E95"/>
    <w:rsid w:val="006655E9"/>
    <w:rsid w:val="00667A51"/>
    <w:rsid w:val="00670E81"/>
    <w:rsid w:val="00673060"/>
    <w:rsid w:val="0067332D"/>
    <w:rsid w:val="006757B3"/>
    <w:rsid w:val="00680B42"/>
    <w:rsid w:val="00681E07"/>
    <w:rsid w:val="0068403B"/>
    <w:rsid w:val="006853AD"/>
    <w:rsid w:val="00686BEB"/>
    <w:rsid w:val="00686FDF"/>
    <w:rsid w:val="00691F9B"/>
    <w:rsid w:val="00692662"/>
    <w:rsid w:val="006932AA"/>
    <w:rsid w:val="006936A8"/>
    <w:rsid w:val="00693B7A"/>
    <w:rsid w:val="00694582"/>
    <w:rsid w:val="006963F8"/>
    <w:rsid w:val="006A4817"/>
    <w:rsid w:val="006A72FC"/>
    <w:rsid w:val="006A7B06"/>
    <w:rsid w:val="006A7FEA"/>
    <w:rsid w:val="006B1236"/>
    <w:rsid w:val="006B1ADD"/>
    <w:rsid w:val="006B3776"/>
    <w:rsid w:val="006B4734"/>
    <w:rsid w:val="006B533B"/>
    <w:rsid w:val="006B5E29"/>
    <w:rsid w:val="006B6A88"/>
    <w:rsid w:val="006B7002"/>
    <w:rsid w:val="006B76BC"/>
    <w:rsid w:val="006C33DA"/>
    <w:rsid w:val="006C424C"/>
    <w:rsid w:val="006C4A31"/>
    <w:rsid w:val="006C6708"/>
    <w:rsid w:val="006C675F"/>
    <w:rsid w:val="006C7BC0"/>
    <w:rsid w:val="006D172D"/>
    <w:rsid w:val="006D1786"/>
    <w:rsid w:val="006D1FA0"/>
    <w:rsid w:val="006D3FB5"/>
    <w:rsid w:val="006D771D"/>
    <w:rsid w:val="006E097C"/>
    <w:rsid w:val="006E1818"/>
    <w:rsid w:val="006E1F19"/>
    <w:rsid w:val="006E1F4C"/>
    <w:rsid w:val="006E434A"/>
    <w:rsid w:val="006F2D4B"/>
    <w:rsid w:val="006F419E"/>
    <w:rsid w:val="006F4EF4"/>
    <w:rsid w:val="006F53A7"/>
    <w:rsid w:val="006F5AF9"/>
    <w:rsid w:val="00705B4D"/>
    <w:rsid w:val="00705B59"/>
    <w:rsid w:val="00705D07"/>
    <w:rsid w:val="00705D1A"/>
    <w:rsid w:val="007062B5"/>
    <w:rsid w:val="0071002C"/>
    <w:rsid w:val="00711880"/>
    <w:rsid w:val="00711977"/>
    <w:rsid w:val="007122D4"/>
    <w:rsid w:val="00715633"/>
    <w:rsid w:val="00717D65"/>
    <w:rsid w:val="007218A7"/>
    <w:rsid w:val="007267FF"/>
    <w:rsid w:val="00727EEA"/>
    <w:rsid w:val="007303EC"/>
    <w:rsid w:val="00730454"/>
    <w:rsid w:val="0073648F"/>
    <w:rsid w:val="00742285"/>
    <w:rsid w:val="0074528A"/>
    <w:rsid w:val="00747D9C"/>
    <w:rsid w:val="00750CA2"/>
    <w:rsid w:val="007533AE"/>
    <w:rsid w:val="00762215"/>
    <w:rsid w:val="00763E15"/>
    <w:rsid w:val="00764BA3"/>
    <w:rsid w:val="00764FF7"/>
    <w:rsid w:val="00770E5E"/>
    <w:rsid w:val="0077612E"/>
    <w:rsid w:val="00776BA7"/>
    <w:rsid w:val="007773C6"/>
    <w:rsid w:val="007779AC"/>
    <w:rsid w:val="00777EBC"/>
    <w:rsid w:val="00785EEE"/>
    <w:rsid w:val="00791CFA"/>
    <w:rsid w:val="00794C7C"/>
    <w:rsid w:val="00796348"/>
    <w:rsid w:val="00796D5E"/>
    <w:rsid w:val="007A0337"/>
    <w:rsid w:val="007A0BC6"/>
    <w:rsid w:val="007A18EC"/>
    <w:rsid w:val="007A366A"/>
    <w:rsid w:val="007A45A3"/>
    <w:rsid w:val="007A6843"/>
    <w:rsid w:val="007A6C15"/>
    <w:rsid w:val="007B141C"/>
    <w:rsid w:val="007B77CA"/>
    <w:rsid w:val="007C36E6"/>
    <w:rsid w:val="007C3C9D"/>
    <w:rsid w:val="007D3917"/>
    <w:rsid w:val="007D5F54"/>
    <w:rsid w:val="007D6F77"/>
    <w:rsid w:val="007E0993"/>
    <w:rsid w:val="007E1BE8"/>
    <w:rsid w:val="007E7378"/>
    <w:rsid w:val="007F3172"/>
    <w:rsid w:val="007F6039"/>
    <w:rsid w:val="00800350"/>
    <w:rsid w:val="008004B4"/>
    <w:rsid w:val="008007CD"/>
    <w:rsid w:val="00800D9E"/>
    <w:rsid w:val="00802C38"/>
    <w:rsid w:val="008144CB"/>
    <w:rsid w:val="00815172"/>
    <w:rsid w:val="00815B53"/>
    <w:rsid w:val="00820C99"/>
    <w:rsid w:val="00821E87"/>
    <w:rsid w:val="008240F4"/>
    <w:rsid w:val="00824FCC"/>
    <w:rsid w:val="00826C71"/>
    <w:rsid w:val="00832330"/>
    <w:rsid w:val="00832CAE"/>
    <w:rsid w:val="008335A0"/>
    <w:rsid w:val="00835B7D"/>
    <w:rsid w:val="00840D1E"/>
    <w:rsid w:val="00841951"/>
    <w:rsid w:val="008429F2"/>
    <w:rsid w:val="00843BAE"/>
    <w:rsid w:val="00843DB9"/>
    <w:rsid w:val="008447DD"/>
    <w:rsid w:val="00850A4F"/>
    <w:rsid w:val="00851FE0"/>
    <w:rsid w:val="00856C84"/>
    <w:rsid w:val="00857985"/>
    <w:rsid w:val="008602C1"/>
    <w:rsid w:val="00863235"/>
    <w:rsid w:val="00865B3D"/>
    <w:rsid w:val="008717B9"/>
    <w:rsid w:val="00872794"/>
    <w:rsid w:val="00872FB8"/>
    <w:rsid w:val="00875DA6"/>
    <w:rsid w:val="00876336"/>
    <w:rsid w:val="00877462"/>
    <w:rsid w:val="00877BB3"/>
    <w:rsid w:val="00880901"/>
    <w:rsid w:val="00880DA3"/>
    <w:rsid w:val="008816CC"/>
    <w:rsid w:val="00881F9D"/>
    <w:rsid w:val="00883790"/>
    <w:rsid w:val="008866F1"/>
    <w:rsid w:val="00886F1E"/>
    <w:rsid w:val="0088702E"/>
    <w:rsid w:val="00894761"/>
    <w:rsid w:val="00895EEB"/>
    <w:rsid w:val="008974B0"/>
    <w:rsid w:val="00897FBF"/>
    <w:rsid w:val="008A1E94"/>
    <w:rsid w:val="008A2457"/>
    <w:rsid w:val="008A319A"/>
    <w:rsid w:val="008A5D09"/>
    <w:rsid w:val="008A5E78"/>
    <w:rsid w:val="008A6A25"/>
    <w:rsid w:val="008A6D1E"/>
    <w:rsid w:val="008B0764"/>
    <w:rsid w:val="008B2C26"/>
    <w:rsid w:val="008B5853"/>
    <w:rsid w:val="008C07B5"/>
    <w:rsid w:val="008C681F"/>
    <w:rsid w:val="008D0417"/>
    <w:rsid w:val="008D0E3A"/>
    <w:rsid w:val="008D6B46"/>
    <w:rsid w:val="008D79D6"/>
    <w:rsid w:val="008E2F0B"/>
    <w:rsid w:val="008E48BA"/>
    <w:rsid w:val="008F0EC7"/>
    <w:rsid w:val="008F1BC3"/>
    <w:rsid w:val="008F2383"/>
    <w:rsid w:val="008F251F"/>
    <w:rsid w:val="008F3656"/>
    <w:rsid w:val="008F4E5F"/>
    <w:rsid w:val="008F4E6B"/>
    <w:rsid w:val="008F6105"/>
    <w:rsid w:val="008F7C1D"/>
    <w:rsid w:val="00901806"/>
    <w:rsid w:val="00901B4F"/>
    <w:rsid w:val="00901E41"/>
    <w:rsid w:val="009063E0"/>
    <w:rsid w:val="00907941"/>
    <w:rsid w:val="00907FD0"/>
    <w:rsid w:val="0091044D"/>
    <w:rsid w:val="0091125F"/>
    <w:rsid w:val="00911593"/>
    <w:rsid w:val="0091603F"/>
    <w:rsid w:val="009251AD"/>
    <w:rsid w:val="0092538C"/>
    <w:rsid w:val="00930573"/>
    <w:rsid w:val="009309EA"/>
    <w:rsid w:val="00930A3A"/>
    <w:rsid w:val="00933066"/>
    <w:rsid w:val="00934043"/>
    <w:rsid w:val="009370B6"/>
    <w:rsid w:val="0094447C"/>
    <w:rsid w:val="00945394"/>
    <w:rsid w:val="0094628B"/>
    <w:rsid w:val="0094672E"/>
    <w:rsid w:val="009468D3"/>
    <w:rsid w:val="00947AB8"/>
    <w:rsid w:val="00950918"/>
    <w:rsid w:val="0095114D"/>
    <w:rsid w:val="00953080"/>
    <w:rsid w:val="00953EC9"/>
    <w:rsid w:val="00955238"/>
    <w:rsid w:val="00955F86"/>
    <w:rsid w:val="009614E3"/>
    <w:rsid w:val="009679AB"/>
    <w:rsid w:val="009707C9"/>
    <w:rsid w:val="00971B25"/>
    <w:rsid w:val="00972C22"/>
    <w:rsid w:val="00974CD2"/>
    <w:rsid w:val="00977520"/>
    <w:rsid w:val="00985620"/>
    <w:rsid w:val="00986BAC"/>
    <w:rsid w:val="0098778F"/>
    <w:rsid w:val="00990D11"/>
    <w:rsid w:val="009912A0"/>
    <w:rsid w:val="00993E2F"/>
    <w:rsid w:val="009A0B81"/>
    <w:rsid w:val="009A26B3"/>
    <w:rsid w:val="009A5A0A"/>
    <w:rsid w:val="009A6B03"/>
    <w:rsid w:val="009A71F9"/>
    <w:rsid w:val="009B6CA2"/>
    <w:rsid w:val="009B780C"/>
    <w:rsid w:val="009C4357"/>
    <w:rsid w:val="009D1E94"/>
    <w:rsid w:val="009D2DEE"/>
    <w:rsid w:val="009D347C"/>
    <w:rsid w:val="009D519D"/>
    <w:rsid w:val="009D5415"/>
    <w:rsid w:val="009D69FB"/>
    <w:rsid w:val="009D6AD8"/>
    <w:rsid w:val="009E02AB"/>
    <w:rsid w:val="009E175D"/>
    <w:rsid w:val="009E2B82"/>
    <w:rsid w:val="009E3E3F"/>
    <w:rsid w:val="009E6547"/>
    <w:rsid w:val="009F569C"/>
    <w:rsid w:val="009F59B8"/>
    <w:rsid w:val="009F6AB0"/>
    <w:rsid w:val="009F7120"/>
    <w:rsid w:val="00A0005C"/>
    <w:rsid w:val="00A05598"/>
    <w:rsid w:val="00A06C85"/>
    <w:rsid w:val="00A07774"/>
    <w:rsid w:val="00A137E1"/>
    <w:rsid w:val="00A13FF5"/>
    <w:rsid w:val="00A1501E"/>
    <w:rsid w:val="00A15E74"/>
    <w:rsid w:val="00A22438"/>
    <w:rsid w:val="00A23569"/>
    <w:rsid w:val="00A23C77"/>
    <w:rsid w:val="00A33AC7"/>
    <w:rsid w:val="00A33F06"/>
    <w:rsid w:val="00A359E1"/>
    <w:rsid w:val="00A40D14"/>
    <w:rsid w:val="00A415DC"/>
    <w:rsid w:val="00A4171E"/>
    <w:rsid w:val="00A445FA"/>
    <w:rsid w:val="00A44A5E"/>
    <w:rsid w:val="00A45473"/>
    <w:rsid w:val="00A45A27"/>
    <w:rsid w:val="00A50F27"/>
    <w:rsid w:val="00A629D2"/>
    <w:rsid w:val="00A6522E"/>
    <w:rsid w:val="00A72DF9"/>
    <w:rsid w:val="00A74699"/>
    <w:rsid w:val="00A755FD"/>
    <w:rsid w:val="00A76452"/>
    <w:rsid w:val="00A8372A"/>
    <w:rsid w:val="00A850DD"/>
    <w:rsid w:val="00A908BD"/>
    <w:rsid w:val="00A909D4"/>
    <w:rsid w:val="00A9492B"/>
    <w:rsid w:val="00A95E4D"/>
    <w:rsid w:val="00A9771B"/>
    <w:rsid w:val="00AB0343"/>
    <w:rsid w:val="00AB1C51"/>
    <w:rsid w:val="00AB4255"/>
    <w:rsid w:val="00AB6763"/>
    <w:rsid w:val="00AB7EF2"/>
    <w:rsid w:val="00AC4BB4"/>
    <w:rsid w:val="00AC6AEC"/>
    <w:rsid w:val="00AC6B2C"/>
    <w:rsid w:val="00AD6413"/>
    <w:rsid w:val="00AE1271"/>
    <w:rsid w:val="00AE2B18"/>
    <w:rsid w:val="00AE67EE"/>
    <w:rsid w:val="00AE78CD"/>
    <w:rsid w:val="00AF0ABF"/>
    <w:rsid w:val="00AF1834"/>
    <w:rsid w:val="00AF5643"/>
    <w:rsid w:val="00AF5A56"/>
    <w:rsid w:val="00B035A0"/>
    <w:rsid w:val="00B06516"/>
    <w:rsid w:val="00B07235"/>
    <w:rsid w:val="00B116A4"/>
    <w:rsid w:val="00B1406D"/>
    <w:rsid w:val="00B15B83"/>
    <w:rsid w:val="00B16204"/>
    <w:rsid w:val="00B204EC"/>
    <w:rsid w:val="00B235F7"/>
    <w:rsid w:val="00B24D09"/>
    <w:rsid w:val="00B264FB"/>
    <w:rsid w:val="00B316CB"/>
    <w:rsid w:val="00B33086"/>
    <w:rsid w:val="00B354C9"/>
    <w:rsid w:val="00B35716"/>
    <w:rsid w:val="00B36043"/>
    <w:rsid w:val="00B366E4"/>
    <w:rsid w:val="00B36B9E"/>
    <w:rsid w:val="00B36F6A"/>
    <w:rsid w:val="00B371E7"/>
    <w:rsid w:val="00B40341"/>
    <w:rsid w:val="00B41B68"/>
    <w:rsid w:val="00B42416"/>
    <w:rsid w:val="00B42A5C"/>
    <w:rsid w:val="00B43818"/>
    <w:rsid w:val="00B4465F"/>
    <w:rsid w:val="00B471C9"/>
    <w:rsid w:val="00B5050D"/>
    <w:rsid w:val="00B51047"/>
    <w:rsid w:val="00B514D8"/>
    <w:rsid w:val="00B5277C"/>
    <w:rsid w:val="00B5484C"/>
    <w:rsid w:val="00B54EFD"/>
    <w:rsid w:val="00B566C9"/>
    <w:rsid w:val="00B649BB"/>
    <w:rsid w:val="00B70211"/>
    <w:rsid w:val="00B72BD1"/>
    <w:rsid w:val="00B72C4A"/>
    <w:rsid w:val="00B742F1"/>
    <w:rsid w:val="00B779EA"/>
    <w:rsid w:val="00B86EC2"/>
    <w:rsid w:val="00B902EE"/>
    <w:rsid w:val="00B92F14"/>
    <w:rsid w:val="00B94FA2"/>
    <w:rsid w:val="00B96BBD"/>
    <w:rsid w:val="00B97701"/>
    <w:rsid w:val="00BA30BB"/>
    <w:rsid w:val="00BA4184"/>
    <w:rsid w:val="00BA440B"/>
    <w:rsid w:val="00BA664A"/>
    <w:rsid w:val="00BB0FA3"/>
    <w:rsid w:val="00BB30D9"/>
    <w:rsid w:val="00BB3559"/>
    <w:rsid w:val="00BB591F"/>
    <w:rsid w:val="00BB6D54"/>
    <w:rsid w:val="00BB7245"/>
    <w:rsid w:val="00BC2757"/>
    <w:rsid w:val="00BC27C0"/>
    <w:rsid w:val="00BC37EB"/>
    <w:rsid w:val="00BC7F1A"/>
    <w:rsid w:val="00BD1EA4"/>
    <w:rsid w:val="00BD6F05"/>
    <w:rsid w:val="00BD6F82"/>
    <w:rsid w:val="00BE06FC"/>
    <w:rsid w:val="00BE39A0"/>
    <w:rsid w:val="00BE4D3A"/>
    <w:rsid w:val="00BE73EC"/>
    <w:rsid w:val="00BE7CFB"/>
    <w:rsid w:val="00BE7DFD"/>
    <w:rsid w:val="00BF276A"/>
    <w:rsid w:val="00BF5C49"/>
    <w:rsid w:val="00BF7194"/>
    <w:rsid w:val="00C016BB"/>
    <w:rsid w:val="00C02286"/>
    <w:rsid w:val="00C1177E"/>
    <w:rsid w:val="00C11D08"/>
    <w:rsid w:val="00C1257E"/>
    <w:rsid w:val="00C17B85"/>
    <w:rsid w:val="00C23934"/>
    <w:rsid w:val="00C30606"/>
    <w:rsid w:val="00C31EC6"/>
    <w:rsid w:val="00C33159"/>
    <w:rsid w:val="00C3321A"/>
    <w:rsid w:val="00C34E7F"/>
    <w:rsid w:val="00C37AF4"/>
    <w:rsid w:val="00C37E43"/>
    <w:rsid w:val="00C44B4A"/>
    <w:rsid w:val="00C44B56"/>
    <w:rsid w:val="00C452F8"/>
    <w:rsid w:val="00C50CF6"/>
    <w:rsid w:val="00C5465F"/>
    <w:rsid w:val="00C54982"/>
    <w:rsid w:val="00C550C3"/>
    <w:rsid w:val="00C555C6"/>
    <w:rsid w:val="00C71F5D"/>
    <w:rsid w:val="00C7342F"/>
    <w:rsid w:val="00C7395E"/>
    <w:rsid w:val="00C73E2B"/>
    <w:rsid w:val="00C7409B"/>
    <w:rsid w:val="00C80AB2"/>
    <w:rsid w:val="00C816D8"/>
    <w:rsid w:val="00C83766"/>
    <w:rsid w:val="00C83CAE"/>
    <w:rsid w:val="00C84490"/>
    <w:rsid w:val="00C85F1B"/>
    <w:rsid w:val="00C873FA"/>
    <w:rsid w:val="00C87D55"/>
    <w:rsid w:val="00C901E3"/>
    <w:rsid w:val="00C90F7B"/>
    <w:rsid w:val="00C917AC"/>
    <w:rsid w:val="00C92C79"/>
    <w:rsid w:val="00C92D75"/>
    <w:rsid w:val="00C93024"/>
    <w:rsid w:val="00C94968"/>
    <w:rsid w:val="00C97CE2"/>
    <w:rsid w:val="00C97D21"/>
    <w:rsid w:val="00CA05E8"/>
    <w:rsid w:val="00CA0937"/>
    <w:rsid w:val="00CA2698"/>
    <w:rsid w:val="00CA2D0E"/>
    <w:rsid w:val="00CA646A"/>
    <w:rsid w:val="00CB64A1"/>
    <w:rsid w:val="00CB74F5"/>
    <w:rsid w:val="00CC0BB7"/>
    <w:rsid w:val="00CC1029"/>
    <w:rsid w:val="00CC1EB0"/>
    <w:rsid w:val="00CC3ECB"/>
    <w:rsid w:val="00CC42A0"/>
    <w:rsid w:val="00CC659A"/>
    <w:rsid w:val="00CC6C8C"/>
    <w:rsid w:val="00CD0E05"/>
    <w:rsid w:val="00CD334D"/>
    <w:rsid w:val="00CD42B0"/>
    <w:rsid w:val="00CD62C0"/>
    <w:rsid w:val="00CD6937"/>
    <w:rsid w:val="00CD6DA7"/>
    <w:rsid w:val="00CD703B"/>
    <w:rsid w:val="00CD7B9D"/>
    <w:rsid w:val="00CE014B"/>
    <w:rsid w:val="00CE0570"/>
    <w:rsid w:val="00CE0587"/>
    <w:rsid w:val="00CE1561"/>
    <w:rsid w:val="00CE21E6"/>
    <w:rsid w:val="00CE744B"/>
    <w:rsid w:val="00CF2B46"/>
    <w:rsid w:val="00CF48C9"/>
    <w:rsid w:val="00CF5FE3"/>
    <w:rsid w:val="00CF62D2"/>
    <w:rsid w:val="00CF7BEC"/>
    <w:rsid w:val="00D01403"/>
    <w:rsid w:val="00D03A67"/>
    <w:rsid w:val="00D06DF2"/>
    <w:rsid w:val="00D06E65"/>
    <w:rsid w:val="00D07DA9"/>
    <w:rsid w:val="00D117E2"/>
    <w:rsid w:val="00D11ABA"/>
    <w:rsid w:val="00D139CE"/>
    <w:rsid w:val="00D16ECE"/>
    <w:rsid w:val="00D23E3B"/>
    <w:rsid w:val="00D26480"/>
    <w:rsid w:val="00D3001D"/>
    <w:rsid w:val="00D3044A"/>
    <w:rsid w:val="00D34109"/>
    <w:rsid w:val="00D34236"/>
    <w:rsid w:val="00D36B6B"/>
    <w:rsid w:val="00D36D0C"/>
    <w:rsid w:val="00D4007A"/>
    <w:rsid w:val="00D44B62"/>
    <w:rsid w:val="00D46275"/>
    <w:rsid w:val="00D468FC"/>
    <w:rsid w:val="00D46991"/>
    <w:rsid w:val="00D46D06"/>
    <w:rsid w:val="00D46F20"/>
    <w:rsid w:val="00D50A14"/>
    <w:rsid w:val="00D51759"/>
    <w:rsid w:val="00D52182"/>
    <w:rsid w:val="00D569DD"/>
    <w:rsid w:val="00D57087"/>
    <w:rsid w:val="00D60B68"/>
    <w:rsid w:val="00D62606"/>
    <w:rsid w:val="00D63897"/>
    <w:rsid w:val="00D63F14"/>
    <w:rsid w:val="00D63F4C"/>
    <w:rsid w:val="00D6415B"/>
    <w:rsid w:val="00D66859"/>
    <w:rsid w:val="00D71174"/>
    <w:rsid w:val="00D718EC"/>
    <w:rsid w:val="00D74073"/>
    <w:rsid w:val="00D74EFD"/>
    <w:rsid w:val="00D813FE"/>
    <w:rsid w:val="00D81EC2"/>
    <w:rsid w:val="00D856E1"/>
    <w:rsid w:val="00D86E26"/>
    <w:rsid w:val="00D92118"/>
    <w:rsid w:val="00D93DF4"/>
    <w:rsid w:val="00D96026"/>
    <w:rsid w:val="00D96710"/>
    <w:rsid w:val="00D96728"/>
    <w:rsid w:val="00D97C4F"/>
    <w:rsid w:val="00DA1047"/>
    <w:rsid w:val="00DA38B1"/>
    <w:rsid w:val="00DA4E20"/>
    <w:rsid w:val="00DB0164"/>
    <w:rsid w:val="00DB0303"/>
    <w:rsid w:val="00DB0FA9"/>
    <w:rsid w:val="00DB191A"/>
    <w:rsid w:val="00DB5955"/>
    <w:rsid w:val="00DB5D59"/>
    <w:rsid w:val="00DC1494"/>
    <w:rsid w:val="00DC38FA"/>
    <w:rsid w:val="00DC4ECC"/>
    <w:rsid w:val="00DC67A4"/>
    <w:rsid w:val="00DD0B87"/>
    <w:rsid w:val="00DD16FB"/>
    <w:rsid w:val="00DD1CF9"/>
    <w:rsid w:val="00DD41BA"/>
    <w:rsid w:val="00DD723B"/>
    <w:rsid w:val="00DD782C"/>
    <w:rsid w:val="00DD7B62"/>
    <w:rsid w:val="00DE21A6"/>
    <w:rsid w:val="00DF0F70"/>
    <w:rsid w:val="00DF402F"/>
    <w:rsid w:val="00DF43ED"/>
    <w:rsid w:val="00DF4C29"/>
    <w:rsid w:val="00DF555D"/>
    <w:rsid w:val="00DF6A0F"/>
    <w:rsid w:val="00DF739C"/>
    <w:rsid w:val="00E00270"/>
    <w:rsid w:val="00E0097B"/>
    <w:rsid w:val="00E00EDC"/>
    <w:rsid w:val="00E0580C"/>
    <w:rsid w:val="00E07781"/>
    <w:rsid w:val="00E07A29"/>
    <w:rsid w:val="00E1097B"/>
    <w:rsid w:val="00E13B82"/>
    <w:rsid w:val="00E13D30"/>
    <w:rsid w:val="00E16FD2"/>
    <w:rsid w:val="00E17524"/>
    <w:rsid w:val="00E21AC8"/>
    <w:rsid w:val="00E22754"/>
    <w:rsid w:val="00E238A6"/>
    <w:rsid w:val="00E23DE9"/>
    <w:rsid w:val="00E241E3"/>
    <w:rsid w:val="00E24B13"/>
    <w:rsid w:val="00E25F06"/>
    <w:rsid w:val="00E269FE"/>
    <w:rsid w:val="00E273F6"/>
    <w:rsid w:val="00E3133C"/>
    <w:rsid w:val="00E31531"/>
    <w:rsid w:val="00E31D7E"/>
    <w:rsid w:val="00E32751"/>
    <w:rsid w:val="00E34906"/>
    <w:rsid w:val="00E42732"/>
    <w:rsid w:val="00E43871"/>
    <w:rsid w:val="00E467A1"/>
    <w:rsid w:val="00E47A1B"/>
    <w:rsid w:val="00E47F7C"/>
    <w:rsid w:val="00E50BE3"/>
    <w:rsid w:val="00E53944"/>
    <w:rsid w:val="00E54ECD"/>
    <w:rsid w:val="00E70C02"/>
    <w:rsid w:val="00E70CA6"/>
    <w:rsid w:val="00E71A74"/>
    <w:rsid w:val="00E74D45"/>
    <w:rsid w:val="00E75132"/>
    <w:rsid w:val="00E762A8"/>
    <w:rsid w:val="00E76A92"/>
    <w:rsid w:val="00E777B5"/>
    <w:rsid w:val="00E84D82"/>
    <w:rsid w:val="00E92D19"/>
    <w:rsid w:val="00E9412D"/>
    <w:rsid w:val="00E94A55"/>
    <w:rsid w:val="00EA212E"/>
    <w:rsid w:val="00EA337F"/>
    <w:rsid w:val="00EA3EC5"/>
    <w:rsid w:val="00EA7A8B"/>
    <w:rsid w:val="00EB0073"/>
    <w:rsid w:val="00EB01AC"/>
    <w:rsid w:val="00EB0874"/>
    <w:rsid w:val="00EB1C60"/>
    <w:rsid w:val="00EB79D6"/>
    <w:rsid w:val="00EC0189"/>
    <w:rsid w:val="00EC1DB3"/>
    <w:rsid w:val="00EC31B6"/>
    <w:rsid w:val="00EC4833"/>
    <w:rsid w:val="00EC54BF"/>
    <w:rsid w:val="00EC6BE4"/>
    <w:rsid w:val="00EC6FF0"/>
    <w:rsid w:val="00EC71E1"/>
    <w:rsid w:val="00ED03B5"/>
    <w:rsid w:val="00ED1AEC"/>
    <w:rsid w:val="00ED6B85"/>
    <w:rsid w:val="00ED6DC2"/>
    <w:rsid w:val="00ED7697"/>
    <w:rsid w:val="00EE0337"/>
    <w:rsid w:val="00EE1255"/>
    <w:rsid w:val="00EE2241"/>
    <w:rsid w:val="00EE542A"/>
    <w:rsid w:val="00EF1A7F"/>
    <w:rsid w:val="00EF3FCA"/>
    <w:rsid w:val="00EF5220"/>
    <w:rsid w:val="00EF5604"/>
    <w:rsid w:val="00EF5920"/>
    <w:rsid w:val="00EF5BF7"/>
    <w:rsid w:val="00F034B3"/>
    <w:rsid w:val="00F03560"/>
    <w:rsid w:val="00F0381F"/>
    <w:rsid w:val="00F05544"/>
    <w:rsid w:val="00F10253"/>
    <w:rsid w:val="00F126C5"/>
    <w:rsid w:val="00F13287"/>
    <w:rsid w:val="00F13F71"/>
    <w:rsid w:val="00F201FF"/>
    <w:rsid w:val="00F2124C"/>
    <w:rsid w:val="00F21DFB"/>
    <w:rsid w:val="00F23C26"/>
    <w:rsid w:val="00F24DFA"/>
    <w:rsid w:val="00F25025"/>
    <w:rsid w:val="00F26804"/>
    <w:rsid w:val="00F32BBD"/>
    <w:rsid w:val="00F331BE"/>
    <w:rsid w:val="00F4063A"/>
    <w:rsid w:val="00F42C85"/>
    <w:rsid w:val="00F449BF"/>
    <w:rsid w:val="00F452CF"/>
    <w:rsid w:val="00F47BD5"/>
    <w:rsid w:val="00F51422"/>
    <w:rsid w:val="00F5511D"/>
    <w:rsid w:val="00F6176C"/>
    <w:rsid w:val="00F61B6D"/>
    <w:rsid w:val="00F62511"/>
    <w:rsid w:val="00F63133"/>
    <w:rsid w:val="00F63D89"/>
    <w:rsid w:val="00F645CA"/>
    <w:rsid w:val="00F6542D"/>
    <w:rsid w:val="00F65738"/>
    <w:rsid w:val="00F65B58"/>
    <w:rsid w:val="00F67758"/>
    <w:rsid w:val="00F7098C"/>
    <w:rsid w:val="00F71CEC"/>
    <w:rsid w:val="00F72C9B"/>
    <w:rsid w:val="00F73D2F"/>
    <w:rsid w:val="00F73E43"/>
    <w:rsid w:val="00F742D2"/>
    <w:rsid w:val="00F75BCC"/>
    <w:rsid w:val="00F776FF"/>
    <w:rsid w:val="00F8102E"/>
    <w:rsid w:val="00F81449"/>
    <w:rsid w:val="00F81DD7"/>
    <w:rsid w:val="00F81ED7"/>
    <w:rsid w:val="00F82FDD"/>
    <w:rsid w:val="00F8532B"/>
    <w:rsid w:val="00F9630D"/>
    <w:rsid w:val="00FA2CFE"/>
    <w:rsid w:val="00FA3507"/>
    <w:rsid w:val="00FA3509"/>
    <w:rsid w:val="00FA3856"/>
    <w:rsid w:val="00FA4D00"/>
    <w:rsid w:val="00FA59D9"/>
    <w:rsid w:val="00FA62B7"/>
    <w:rsid w:val="00FB0377"/>
    <w:rsid w:val="00FB1022"/>
    <w:rsid w:val="00FB20D6"/>
    <w:rsid w:val="00FB2593"/>
    <w:rsid w:val="00FC1801"/>
    <w:rsid w:val="00FC4895"/>
    <w:rsid w:val="00FD2D9B"/>
    <w:rsid w:val="00FD36C4"/>
    <w:rsid w:val="00FD6135"/>
    <w:rsid w:val="00FD632F"/>
    <w:rsid w:val="00FE1A01"/>
    <w:rsid w:val="00FE39A6"/>
    <w:rsid w:val="00FE463D"/>
    <w:rsid w:val="00FE62B5"/>
    <w:rsid w:val="00FE7074"/>
    <w:rsid w:val="00FF0184"/>
    <w:rsid w:val="00FF6622"/>
    <w:rsid w:val="11FB6B3C"/>
    <w:rsid w:val="23B20895"/>
    <w:rsid w:val="33292C1B"/>
    <w:rsid w:val="337521DB"/>
    <w:rsid w:val="401F2E7C"/>
    <w:rsid w:val="48654AA9"/>
    <w:rsid w:val="48B82DB7"/>
    <w:rsid w:val="56CA26EB"/>
    <w:rsid w:val="67084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9"/>
    <w:pPr>
      <w:keepNext/>
      <w:keepLines/>
      <w:pBdr>
        <w:bottom w:val="single" w:color="585858" w:sz="4" w:space="1"/>
      </w:pBdr>
      <w:spacing w:before="360" w:after="160" w:line="256" w:lineRule="auto"/>
      <w:ind w:left="432" w:hanging="432"/>
      <w:jc w:val="left"/>
      <w:outlineLvl w:val="0"/>
    </w:pPr>
    <w:rPr>
      <w:rFonts w:ascii="Cambria" w:hAnsi="Cambria" w:eastAsia="宋体" w:cs="Times New Roman"/>
      <w:b/>
      <w:bCs/>
      <w:smallCaps/>
      <w:color w:val="000000"/>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qFormat/>
    <w:uiPriority w:val="99"/>
    <w:pPr>
      <w:jc w:val="left"/>
    </w:pPr>
    <w:rPr>
      <w:rFonts w:ascii="Times New Roman" w:hAnsi="Times New Roman" w:eastAsia="宋体" w:cs="Times New Roman"/>
      <w:szCs w:val="24"/>
    </w:r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5"/>
    <w:basedOn w:val="1"/>
    <w:unhideWhenUsed/>
    <w:qFormat/>
    <w:uiPriority w:val="99"/>
    <w:pPr>
      <w:widowControl/>
      <w:spacing w:before="100" w:beforeAutospacing="1" w:after="160" w:line="256" w:lineRule="auto"/>
      <w:ind w:left="100" w:leftChars="800" w:hanging="200" w:hangingChars="200"/>
      <w:jc w:val="left"/>
    </w:pPr>
    <w:rPr>
      <w:rFonts w:ascii="Calibri" w:hAnsi="Calibri" w:eastAsia="宋体" w:cs="Times New Roman"/>
      <w:kern w:val="0"/>
      <w:sz w:val="22"/>
    </w:rPr>
  </w:style>
  <w:style w:type="paragraph" w:styleId="9">
    <w:name w:val="annotation subject"/>
    <w:basedOn w:val="3"/>
    <w:next w:val="3"/>
    <w:link w:val="23"/>
    <w:semiHidden/>
    <w:unhideWhenUsed/>
    <w:qFormat/>
    <w:uiPriority w:val="99"/>
    <w:rPr>
      <w:rFonts w:asciiTheme="minorHAnsi" w:hAnsiTheme="minorHAnsi" w:eastAsiaTheme="minorEastAsia" w:cstheme="minorBidi"/>
      <w:b/>
      <w:bCs/>
      <w:szCs w:val="22"/>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u w:val="single"/>
    </w:rPr>
  </w:style>
  <w:style w:type="character" w:styleId="14">
    <w:name w:val="annotation reference"/>
    <w:basedOn w:val="12"/>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批注框文本 字符"/>
    <w:basedOn w:val="12"/>
    <w:link w:val="5"/>
    <w:semiHidden/>
    <w:qFormat/>
    <w:uiPriority w:val="99"/>
    <w:rPr>
      <w:sz w:val="18"/>
      <w:szCs w:val="18"/>
    </w:rPr>
  </w:style>
  <w:style w:type="paragraph" w:styleId="18">
    <w:name w:val="List Paragraph"/>
    <w:basedOn w:val="1"/>
    <w:qFormat/>
    <w:uiPriority w:val="34"/>
    <w:pPr>
      <w:ind w:firstLine="420" w:firstLineChars="200"/>
    </w:pPr>
  </w:style>
  <w:style w:type="paragraph" w:customStyle="1" w:styleId="19">
    <w:name w:val="Char Char Char Char Char Char Char"/>
    <w:basedOn w:val="1"/>
    <w:qFormat/>
    <w:uiPriority w:val="0"/>
    <w:pPr>
      <w:widowControl/>
      <w:spacing w:after="160" w:line="240" w:lineRule="exact"/>
      <w:jc w:val="left"/>
    </w:pPr>
    <w:rPr>
      <w:rFonts w:ascii="Verdana" w:hAnsi="Verdana" w:eastAsia="Times New Roman" w:cs="Times New Roman"/>
      <w:kern w:val="0"/>
      <w:sz w:val="20"/>
      <w:szCs w:val="20"/>
      <w:lang w:eastAsia="en-US"/>
    </w:rPr>
  </w:style>
  <w:style w:type="character" w:customStyle="1" w:styleId="20">
    <w:name w:val="日期 字符"/>
    <w:basedOn w:val="12"/>
    <w:link w:val="4"/>
    <w:semiHidden/>
    <w:qFormat/>
    <w:uiPriority w:val="99"/>
  </w:style>
  <w:style w:type="character" w:customStyle="1" w:styleId="21">
    <w:name w:val="批注文字 字符"/>
    <w:basedOn w:val="12"/>
    <w:link w:val="3"/>
    <w:qFormat/>
    <w:uiPriority w:val="99"/>
    <w:rPr>
      <w:rFonts w:ascii="Times New Roman" w:hAnsi="Times New Roman" w:eastAsia="宋体" w:cs="Times New Roman"/>
      <w:szCs w:val="24"/>
    </w:rPr>
  </w:style>
  <w:style w:type="paragraph" w:customStyle="1" w:styleId="22">
    <w:name w:val="Char Char Char Char Char Char Char1"/>
    <w:basedOn w:val="1"/>
    <w:qFormat/>
    <w:uiPriority w:val="0"/>
    <w:pPr>
      <w:widowControl/>
      <w:spacing w:after="160" w:line="240" w:lineRule="exact"/>
      <w:jc w:val="left"/>
    </w:pPr>
    <w:rPr>
      <w:rFonts w:ascii="Verdana" w:hAnsi="Verdana" w:eastAsia="Times New Roman" w:cs="Times New Roman"/>
      <w:kern w:val="0"/>
      <w:sz w:val="20"/>
      <w:szCs w:val="20"/>
      <w:lang w:eastAsia="en-US"/>
    </w:rPr>
  </w:style>
  <w:style w:type="character" w:customStyle="1" w:styleId="23">
    <w:name w:val="批注主题 字符"/>
    <w:basedOn w:val="21"/>
    <w:link w:val="9"/>
    <w:semiHidden/>
    <w:qFormat/>
    <w:uiPriority w:val="99"/>
    <w:rPr>
      <w:rFonts w:ascii="Times New Roman" w:hAnsi="Times New Roman" w:eastAsia="宋体" w:cs="Times New Roman"/>
      <w:b/>
      <w:bCs/>
      <w:szCs w:val="24"/>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
    <w:name w:val="列出段落1"/>
    <w:basedOn w:val="1"/>
    <w:qFormat/>
    <w:uiPriority w:val="34"/>
    <w:pPr>
      <w:widowControl/>
      <w:ind w:firstLine="420"/>
    </w:pPr>
    <w:rPr>
      <w:rFonts w:ascii="Times New Roman" w:hAnsi="Times New Roman" w:eastAsia="宋体" w:cs="Times New Roman"/>
      <w:kern w:val="0"/>
      <w:szCs w:val="21"/>
    </w:rPr>
  </w:style>
  <w:style w:type="character" w:customStyle="1" w:styleId="26">
    <w:name w:val="标题 1 字符"/>
    <w:basedOn w:val="12"/>
    <w:link w:val="2"/>
    <w:qFormat/>
    <w:uiPriority w:val="99"/>
    <w:rPr>
      <w:rFonts w:ascii="Cambria" w:hAnsi="Cambria" w:eastAsia="宋体" w:cs="Times New Roman"/>
      <w:b/>
      <w:bCs/>
      <w:smallCaps/>
      <w:color w:val="000000"/>
      <w:kern w:val="0"/>
      <w:sz w:val="36"/>
      <w:szCs w:val="36"/>
    </w:rPr>
  </w:style>
  <w:style w:type="paragraph" w:customStyle="1" w:styleId="27">
    <w:name w:val="列表段落1"/>
    <w:basedOn w:val="1"/>
    <w:qFormat/>
    <w:uiPriority w:val="0"/>
    <w:pPr>
      <w:widowControl/>
      <w:spacing w:before="100" w:beforeAutospacing="1" w:after="160" w:line="256" w:lineRule="auto"/>
      <w:ind w:firstLine="420" w:firstLineChars="200"/>
      <w:jc w:val="left"/>
    </w:pPr>
    <w:rPr>
      <w:rFonts w:ascii="Calibri" w:hAnsi="Calibri" w:eastAsia="宋体" w:cs="Times New Roman"/>
      <w:kern w:val="0"/>
      <w:sz w:val="22"/>
    </w:rPr>
  </w:style>
  <w:style w:type="paragraph" w:customStyle="1" w:styleId="2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1BECE-0352-41CC-94BE-5A55E2F52EC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2655</Words>
  <Characters>15137</Characters>
  <Lines>126</Lines>
  <Paragraphs>35</Paragraphs>
  <TotalTime>63</TotalTime>
  <ScaleCrop>false</ScaleCrop>
  <LinksUpToDate>false</LinksUpToDate>
  <CharactersWithSpaces>17757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2021-09-08T06:38:00Z</dcterms:created>
  <dc:creator>gzcsdhcy</dc:creator>
  <cp:lastModifiedBy>86166</cp:lastModifiedBy>
  <cp:lastPrinted>2020-05-25T10:40:00Z</cp:lastPrinted>
  <dcterms:modified xsi:type="dcterms:W3CDTF">2021-09-30T05:51:18Z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E04DAF0F5BAF4E43BF397F41CE789382</vt:lpwstr>
  </property>
</Properties>
</file>